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51304" w14:textId="77777777" w:rsidR="000C369C" w:rsidRPr="000C369C" w:rsidRDefault="000C369C" w:rsidP="000C369C">
      <w:pPr>
        <w:tabs>
          <w:tab w:val="left" w:pos="9923"/>
        </w:tabs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0C369C">
        <w:rPr>
          <w:rFonts w:ascii="Calibri" w:eastAsia="Calibri" w:hAnsi="Calibri" w:cs="Times New Roman"/>
          <w:sz w:val="20"/>
          <w:szCs w:val="20"/>
        </w:rPr>
        <w:tab/>
      </w:r>
      <w:r w:rsidRPr="000C369C">
        <w:rPr>
          <w:rFonts w:ascii="Calibri" w:eastAsia="Calibri" w:hAnsi="Calibri" w:cs="Times New Roman"/>
          <w:sz w:val="20"/>
          <w:szCs w:val="20"/>
        </w:rPr>
        <w:tab/>
      </w:r>
    </w:p>
    <w:p w14:paraId="33574636" w14:textId="77777777" w:rsidR="000C369C" w:rsidRPr="000C369C" w:rsidRDefault="000C369C" w:rsidP="000C369C">
      <w:pPr>
        <w:tabs>
          <w:tab w:val="left" w:pos="0"/>
          <w:tab w:val="left" w:pos="9923"/>
        </w:tabs>
        <w:spacing w:after="0" w:line="240" w:lineRule="auto"/>
        <w:ind w:left="9217"/>
        <w:rPr>
          <w:rFonts w:ascii="Calibri" w:eastAsia="Calibri" w:hAnsi="Calibri" w:cs="Times New Roman"/>
          <w:sz w:val="20"/>
          <w:szCs w:val="20"/>
        </w:rPr>
      </w:pPr>
      <w:r w:rsidRPr="000C369C">
        <w:rPr>
          <w:rFonts w:ascii="Calibri" w:eastAsia="Calibri" w:hAnsi="Calibri" w:cs="Times New Roman"/>
          <w:sz w:val="20"/>
          <w:szCs w:val="20"/>
        </w:rPr>
        <w:tab/>
      </w:r>
    </w:p>
    <w:p w14:paraId="362D6394" w14:textId="7E3510D2" w:rsidR="000C369C" w:rsidRPr="000C369C" w:rsidRDefault="000C369C" w:rsidP="000C369C">
      <w:pPr>
        <w:tabs>
          <w:tab w:val="left" w:pos="0"/>
          <w:tab w:val="left" w:pos="9923"/>
        </w:tabs>
        <w:spacing w:after="0" w:line="240" w:lineRule="auto"/>
        <w:ind w:left="9217"/>
        <w:rPr>
          <w:rFonts w:ascii="Calibri" w:eastAsia="Calibri" w:hAnsi="Calibri" w:cs="Times New Roman"/>
          <w:sz w:val="20"/>
          <w:szCs w:val="20"/>
        </w:rPr>
      </w:pPr>
      <w:r w:rsidRPr="000C369C">
        <w:rPr>
          <w:rFonts w:ascii="Calibri" w:eastAsia="Calibri" w:hAnsi="Calibri" w:cs="Times New Roman"/>
          <w:sz w:val="20"/>
          <w:szCs w:val="20"/>
        </w:rPr>
        <w:tab/>
        <w:t xml:space="preserve">Załącznik nr 1 do uchwały Nr </w:t>
      </w:r>
      <w:r w:rsidR="008F167E">
        <w:rPr>
          <w:rFonts w:ascii="Calibri" w:eastAsia="Calibri" w:hAnsi="Calibri" w:cs="Times New Roman"/>
          <w:sz w:val="20"/>
          <w:szCs w:val="20"/>
        </w:rPr>
        <w:t>1</w:t>
      </w:r>
      <w:r w:rsidRPr="000C369C">
        <w:rPr>
          <w:rFonts w:ascii="Calibri" w:eastAsia="Calibri" w:hAnsi="Calibri" w:cs="Times New Roman"/>
          <w:sz w:val="20"/>
          <w:szCs w:val="20"/>
        </w:rPr>
        <w:t>/2022</w:t>
      </w:r>
    </w:p>
    <w:p w14:paraId="0651F611" w14:textId="77777777" w:rsidR="000C369C" w:rsidRPr="000C369C" w:rsidRDefault="000C369C" w:rsidP="000C369C">
      <w:pPr>
        <w:tabs>
          <w:tab w:val="left" w:pos="0"/>
          <w:tab w:val="left" w:pos="9923"/>
        </w:tabs>
        <w:spacing w:after="0" w:line="240" w:lineRule="auto"/>
        <w:ind w:left="9217"/>
        <w:rPr>
          <w:rFonts w:ascii="Calibri" w:eastAsia="Calibri" w:hAnsi="Calibri" w:cs="Times New Roman"/>
          <w:sz w:val="20"/>
          <w:szCs w:val="20"/>
        </w:rPr>
      </w:pPr>
      <w:r w:rsidRPr="000C369C">
        <w:rPr>
          <w:rFonts w:ascii="Calibri" w:eastAsia="Calibri" w:hAnsi="Calibri" w:cs="Times New Roman"/>
          <w:sz w:val="20"/>
          <w:szCs w:val="20"/>
        </w:rPr>
        <w:tab/>
        <w:t xml:space="preserve">KM RPO WK-P na lata 2014-2020 </w:t>
      </w:r>
    </w:p>
    <w:p w14:paraId="1159A0BA" w14:textId="77777777" w:rsidR="000C369C" w:rsidRPr="000C369C" w:rsidRDefault="000C369C" w:rsidP="000C369C">
      <w:pPr>
        <w:tabs>
          <w:tab w:val="left" w:pos="0"/>
          <w:tab w:val="left" w:pos="9923"/>
        </w:tabs>
        <w:spacing w:after="0" w:line="240" w:lineRule="auto"/>
        <w:ind w:left="9217"/>
        <w:rPr>
          <w:rFonts w:ascii="Calibri" w:eastAsia="Calibri" w:hAnsi="Calibri" w:cs="Times New Roman"/>
          <w:sz w:val="20"/>
          <w:szCs w:val="20"/>
        </w:rPr>
      </w:pPr>
      <w:r w:rsidRPr="000C369C">
        <w:rPr>
          <w:rFonts w:ascii="Calibri" w:eastAsia="Calibri" w:hAnsi="Calibri" w:cs="Times New Roman"/>
          <w:sz w:val="20"/>
          <w:szCs w:val="20"/>
        </w:rPr>
        <w:tab/>
        <w:t xml:space="preserve">z dnia 3 lutego 2022 r. </w:t>
      </w:r>
    </w:p>
    <w:p w14:paraId="3677BC0A" w14:textId="77777777" w:rsidR="000C369C" w:rsidRPr="000C369C" w:rsidRDefault="000C369C" w:rsidP="000C369C">
      <w:pPr>
        <w:tabs>
          <w:tab w:val="left" w:pos="9923"/>
        </w:tabs>
        <w:spacing w:after="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C369C">
        <w:rPr>
          <w:rFonts w:ascii="Calibri" w:eastAsia="Calibri" w:hAnsi="Calibri" w:cs="Times New Roman"/>
          <w:b/>
          <w:sz w:val="24"/>
          <w:szCs w:val="24"/>
        </w:rPr>
        <w:t>Kryteria wyboru projektu</w:t>
      </w:r>
    </w:p>
    <w:p w14:paraId="2A759584" w14:textId="77777777" w:rsidR="000C369C" w:rsidRPr="000C369C" w:rsidRDefault="000C369C" w:rsidP="000C369C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C369C">
        <w:rPr>
          <w:rFonts w:ascii="Calibri" w:eastAsia="Calibri" w:hAnsi="Calibri" w:cs="Times New Roman"/>
          <w:b/>
          <w:sz w:val="24"/>
          <w:szCs w:val="24"/>
        </w:rPr>
        <w:t>Działanie:</w:t>
      </w:r>
      <w:r w:rsidRPr="000C369C">
        <w:rPr>
          <w:rFonts w:ascii="Calibri" w:eastAsia="Calibri" w:hAnsi="Calibri" w:cs="Times New Roman"/>
          <w:sz w:val="24"/>
          <w:szCs w:val="24"/>
        </w:rPr>
        <w:t xml:space="preserve"> 5.3 Infrastruktura kolejowa</w:t>
      </w:r>
    </w:p>
    <w:p w14:paraId="7BF5A02C" w14:textId="77777777" w:rsidR="000C369C" w:rsidRPr="000C369C" w:rsidRDefault="000C369C" w:rsidP="000C369C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C369C">
        <w:rPr>
          <w:rFonts w:ascii="Calibri" w:eastAsia="Calibri" w:hAnsi="Calibri" w:cs="Times New Roman"/>
          <w:b/>
          <w:sz w:val="24"/>
          <w:szCs w:val="24"/>
        </w:rPr>
        <w:t>Oś priorytetowa:</w:t>
      </w:r>
      <w:r w:rsidRPr="000C369C">
        <w:rPr>
          <w:rFonts w:ascii="Calibri" w:eastAsia="Calibri" w:hAnsi="Calibri" w:cs="Times New Roman"/>
          <w:sz w:val="24"/>
          <w:szCs w:val="24"/>
        </w:rPr>
        <w:t xml:space="preserve"> 5 Spójność wewnętrzna i dostępność zewnętrzna regionu</w:t>
      </w:r>
    </w:p>
    <w:p w14:paraId="190EB32B" w14:textId="77777777" w:rsidR="000C369C" w:rsidRPr="000C369C" w:rsidRDefault="000C369C" w:rsidP="000C369C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sz w:val="18"/>
          <w:szCs w:val="18"/>
          <w:lang w:eastAsia="pl-PL"/>
        </w:rPr>
      </w:pPr>
      <w:r w:rsidRPr="000C369C">
        <w:rPr>
          <w:rFonts w:ascii="Calibri" w:eastAsia="Calibri" w:hAnsi="Calibri" w:cs="Times New Roman"/>
          <w:b/>
          <w:sz w:val="24"/>
          <w:szCs w:val="24"/>
        </w:rPr>
        <w:t>Priorytet Inwestycyjny:</w:t>
      </w:r>
      <w:r w:rsidRPr="000C369C">
        <w:rPr>
          <w:rFonts w:ascii="Calibri" w:eastAsia="Calibri" w:hAnsi="Calibri" w:cs="Times New Roman"/>
          <w:sz w:val="24"/>
          <w:szCs w:val="24"/>
        </w:rPr>
        <w:t xml:space="preserve"> 7d Rozwój i rehabilitacja kompleksowych, wysokiej jakości i interoperacyjnych systemów transportu kolejowego oraz propagowanie działań służących zmniejszaniu hałasu</w:t>
      </w:r>
    </w:p>
    <w:p w14:paraId="63FC43C6" w14:textId="77777777" w:rsidR="000C369C" w:rsidRPr="000C369C" w:rsidRDefault="000C369C" w:rsidP="000C369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0C369C">
        <w:rPr>
          <w:rFonts w:ascii="Calibri" w:eastAsia="Calibri" w:hAnsi="Calibri" w:cs="Times New Roman"/>
          <w:b/>
          <w:sz w:val="24"/>
          <w:szCs w:val="24"/>
        </w:rPr>
        <w:t>Cel szczegółowy:</w:t>
      </w:r>
      <w:r w:rsidRPr="000C369C">
        <w:rPr>
          <w:rFonts w:ascii="Calibri" w:eastAsia="Calibri" w:hAnsi="Calibri" w:cs="Times New Roman"/>
          <w:sz w:val="24"/>
          <w:szCs w:val="24"/>
        </w:rPr>
        <w:t xml:space="preserve"> Zwiększona dostępność kolejowa regionu</w:t>
      </w:r>
    </w:p>
    <w:p w14:paraId="5FC0E3E3" w14:textId="77777777" w:rsidR="000C369C" w:rsidRPr="000C369C" w:rsidRDefault="000C369C" w:rsidP="000C369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0C369C">
        <w:rPr>
          <w:rFonts w:ascii="Calibri" w:eastAsia="Calibri" w:hAnsi="Calibri" w:cs="Times New Roman"/>
          <w:b/>
          <w:sz w:val="24"/>
          <w:szCs w:val="24"/>
        </w:rPr>
        <w:t>Schemat</w:t>
      </w:r>
      <w:r w:rsidRPr="000C369C">
        <w:rPr>
          <w:rFonts w:ascii="Calibri" w:eastAsia="Calibri" w:hAnsi="Calibri" w:cs="Times New Roman"/>
          <w:sz w:val="24"/>
          <w:szCs w:val="24"/>
        </w:rPr>
        <w:t>: Zakup zeroemisyjnego taboru kolejowego (tryb pozakonkursowy)</w:t>
      </w:r>
    </w:p>
    <w:p w14:paraId="05F356F5" w14:textId="77777777" w:rsidR="000C369C" w:rsidRPr="000C369C" w:rsidRDefault="000C369C" w:rsidP="000C369C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989"/>
        <w:gridCol w:w="7115"/>
        <w:gridCol w:w="2970"/>
      </w:tblGrid>
      <w:tr w:rsidR="000C369C" w:rsidRPr="000C369C" w14:paraId="2E26FA09" w14:textId="77777777" w:rsidTr="00326EDE">
        <w:tc>
          <w:tcPr>
            <w:tcW w:w="4231" w:type="dxa"/>
            <w:gridSpan w:val="2"/>
            <w:shd w:val="clear" w:color="auto" w:fill="D9D9D9"/>
            <w:vAlign w:val="center"/>
          </w:tcPr>
          <w:p w14:paraId="635BA029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4D1C36B6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4E6BBA95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b/>
                <w:sz w:val="18"/>
                <w:szCs w:val="18"/>
              </w:rPr>
              <w:t>Kryterium</w:t>
            </w:r>
          </w:p>
          <w:p w14:paraId="15E1D780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1414F629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5" w:type="dxa"/>
            <w:shd w:val="clear" w:color="auto" w:fill="D9D9D9"/>
            <w:vAlign w:val="center"/>
          </w:tcPr>
          <w:p w14:paraId="03344044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b/>
                <w:sz w:val="18"/>
                <w:szCs w:val="18"/>
              </w:rPr>
              <w:t>Definicja kryterium</w:t>
            </w:r>
          </w:p>
        </w:tc>
        <w:tc>
          <w:tcPr>
            <w:tcW w:w="2970" w:type="dxa"/>
            <w:shd w:val="clear" w:color="auto" w:fill="D9D9D9"/>
            <w:vAlign w:val="center"/>
          </w:tcPr>
          <w:p w14:paraId="06921B1E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b/>
                <w:sz w:val="18"/>
                <w:szCs w:val="18"/>
              </w:rPr>
              <w:t>Opis znaczenia Kryterium</w:t>
            </w:r>
          </w:p>
        </w:tc>
      </w:tr>
      <w:tr w:rsidR="000C369C" w:rsidRPr="000C369C" w14:paraId="1196144A" w14:textId="77777777" w:rsidTr="00326EDE">
        <w:tc>
          <w:tcPr>
            <w:tcW w:w="14316" w:type="dxa"/>
            <w:gridSpan w:val="4"/>
            <w:shd w:val="clear" w:color="auto" w:fill="8DB3E2"/>
          </w:tcPr>
          <w:p w14:paraId="2852F537" w14:textId="77777777" w:rsidR="000C369C" w:rsidRPr="000C369C" w:rsidRDefault="000C369C" w:rsidP="000C369C">
            <w:p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b/>
                <w:sz w:val="18"/>
                <w:szCs w:val="18"/>
              </w:rPr>
              <w:t>A. Kryteria Formalne</w:t>
            </w:r>
          </w:p>
        </w:tc>
      </w:tr>
      <w:tr w:rsidR="000C369C" w:rsidRPr="000C369C" w14:paraId="5CFDC583" w14:textId="77777777" w:rsidTr="00326EDE">
        <w:tc>
          <w:tcPr>
            <w:tcW w:w="1242" w:type="dxa"/>
            <w:vAlign w:val="center"/>
          </w:tcPr>
          <w:p w14:paraId="459519C9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A.1</w:t>
            </w:r>
          </w:p>
        </w:tc>
        <w:tc>
          <w:tcPr>
            <w:tcW w:w="2989" w:type="dxa"/>
            <w:vAlign w:val="center"/>
          </w:tcPr>
          <w:p w14:paraId="040B0D60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Niepodleganie wykluczeniu </w:t>
            </w:r>
          </w:p>
          <w:p w14:paraId="02199A42" w14:textId="0D046875" w:rsidR="000C369C" w:rsidRPr="000C369C" w:rsidRDefault="000C369C" w:rsidP="00CD1ED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 możliwości otrzymania dofinansowania ze środków Unii Europejskiej</w:t>
            </w:r>
          </w:p>
        </w:tc>
        <w:tc>
          <w:tcPr>
            <w:tcW w:w="7115" w:type="dxa"/>
            <w:vAlign w:val="center"/>
          </w:tcPr>
          <w:p w14:paraId="2B3F8C87" w14:textId="77777777" w:rsidR="000C369C" w:rsidRPr="000C369C" w:rsidRDefault="000C369C" w:rsidP="000C369C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  <w:u w:val="single"/>
              </w:rPr>
            </w:pPr>
            <w:r w:rsidRPr="000C369C">
              <w:rPr>
                <w:rFonts w:ascii="Calibri" w:eastAsia="Calibri" w:hAnsi="Calibri" w:cs="Times New Roman"/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3FFED383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Ocenie podlega, czy:</w:t>
            </w:r>
          </w:p>
          <w:p w14:paraId="2E052979" w14:textId="77777777" w:rsidR="000C369C" w:rsidRPr="000C369C" w:rsidRDefault="000C369C" w:rsidP="000C369C">
            <w:pPr>
              <w:numPr>
                <w:ilvl w:val="0"/>
                <w:numId w:val="3"/>
              </w:numPr>
              <w:spacing w:after="0" w:line="240" w:lineRule="auto"/>
              <w:ind w:left="279" w:hanging="284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wnioskodawca oraz partnerzy (jeśli dotyczy)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"/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C369C">
              <w:rPr>
                <w:rFonts w:ascii="Calibri" w:eastAsia="Calibri" w:hAnsi="Calibri" w:cs="Times New Roman"/>
                <w:b/>
                <w:sz w:val="18"/>
                <w:szCs w:val="18"/>
              </w:rPr>
              <w:t>nie podlegają wykluczeniu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z możliwości ubiegania się o dofinansowanie oraz że nie są objęci zakazem dostępu do środków funduszy europejskich na podstawie:</w:t>
            </w:r>
          </w:p>
          <w:p w14:paraId="1714DB7B" w14:textId="77777777" w:rsidR="000C369C" w:rsidRPr="000C369C" w:rsidRDefault="000C369C" w:rsidP="000C369C">
            <w:pPr>
              <w:numPr>
                <w:ilvl w:val="0"/>
                <w:numId w:val="4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art. 207 ust. 4 ustawy z dnia 27 sierpnia 2009 r. o finansach publicznych (Dz. U. z 2021 r. poz. 305),</w:t>
            </w:r>
          </w:p>
          <w:p w14:paraId="1634ACF7" w14:textId="77777777" w:rsidR="000C369C" w:rsidRPr="000C369C" w:rsidRDefault="000C369C" w:rsidP="000C369C">
            <w:pPr>
              <w:numPr>
                <w:ilvl w:val="0"/>
                <w:numId w:val="4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2021 r. poz. 1745),</w:t>
            </w:r>
          </w:p>
          <w:p w14:paraId="7DDC4ACE" w14:textId="77777777" w:rsidR="000C369C" w:rsidRPr="000C369C" w:rsidRDefault="000C369C" w:rsidP="000C369C">
            <w:pPr>
              <w:numPr>
                <w:ilvl w:val="0"/>
                <w:numId w:val="4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art. 9 ust. 1 pkt 2a ustawy z dnia 28 października 2002 r. o odpowiedzialności podmiotów zbiorowych za czyny zabronione pod groźbą kary (Dz. U. z 2020 r. poz. 358),</w:t>
            </w:r>
          </w:p>
          <w:p w14:paraId="072EC131" w14:textId="77777777" w:rsidR="000C369C" w:rsidRPr="000C369C" w:rsidRDefault="000C369C" w:rsidP="000C369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projekt nie został zakończony przed złożeniem wniosku o dofinansowanie projektu zgodnie z art. 65 ust. 6 rozporządzenia nr 1303/2013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2"/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, co oznacza że nie został on fizycznie ukończony lub w pełni wdrożony przed złożeniem wniosku o dofinansowanie projektu w ramach RPO WK-P 2014-2020, niezależnie od tego czy wszystkie powiązane z nim płatności zostały dokonane przez beneficjenta. </w:t>
            </w:r>
          </w:p>
          <w:p w14:paraId="27B62E1F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ind w:left="279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143361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0903DB18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Tak/nie </w:t>
            </w:r>
          </w:p>
          <w:p w14:paraId="2FA16072" w14:textId="7D280A92" w:rsidR="000C369C" w:rsidRPr="000C369C" w:rsidRDefault="000C369C" w:rsidP="00CD1ED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1DF82289" w14:textId="77777777" w:rsidTr="00326EDE">
        <w:tc>
          <w:tcPr>
            <w:tcW w:w="1242" w:type="dxa"/>
            <w:vAlign w:val="center"/>
          </w:tcPr>
          <w:p w14:paraId="0E8F131A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A.2</w:t>
            </w:r>
          </w:p>
        </w:tc>
        <w:tc>
          <w:tcPr>
            <w:tcW w:w="2989" w:type="dxa"/>
            <w:vAlign w:val="center"/>
          </w:tcPr>
          <w:p w14:paraId="21DC7E20" w14:textId="77777777" w:rsidR="000C369C" w:rsidRPr="000C369C" w:rsidRDefault="000C369C" w:rsidP="000C369C">
            <w:pPr>
              <w:spacing w:after="0" w:line="240" w:lineRule="auto"/>
              <w:ind w:right="-108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Miejsce realizacji projektu</w:t>
            </w:r>
          </w:p>
        </w:tc>
        <w:tc>
          <w:tcPr>
            <w:tcW w:w="7115" w:type="dxa"/>
            <w:vAlign w:val="center"/>
          </w:tcPr>
          <w:p w14:paraId="22DF5583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projekt realizowany jest/będzie na terytorium województwa kujawsko-pomorskiego w rozumieniu art. 70 rozporządzenia 1303/2013, tj. czy tabor będący przedmiotem projektu służyć będzie realizacji usług transportu publicznego na terytorium województwa kujawsko-pomorskiego. </w:t>
            </w:r>
          </w:p>
          <w:p w14:paraId="6CE04BCB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C89657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713C8183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39416CCF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3EA81080" w14:textId="77777777" w:rsidTr="00326EDE">
        <w:tc>
          <w:tcPr>
            <w:tcW w:w="1242" w:type="dxa"/>
            <w:vAlign w:val="center"/>
          </w:tcPr>
          <w:p w14:paraId="5351935F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A.3</w:t>
            </w:r>
          </w:p>
        </w:tc>
        <w:tc>
          <w:tcPr>
            <w:tcW w:w="2989" w:type="dxa"/>
            <w:vAlign w:val="center"/>
          </w:tcPr>
          <w:p w14:paraId="7B8F86CA" w14:textId="77777777" w:rsidR="000C369C" w:rsidRPr="000C369C" w:rsidRDefault="000C369C" w:rsidP="000C369C">
            <w:pPr>
              <w:spacing w:after="0" w:line="240" w:lineRule="auto"/>
              <w:ind w:right="-108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Gotowość techniczna projektu do realizacji</w:t>
            </w:r>
          </w:p>
        </w:tc>
        <w:tc>
          <w:tcPr>
            <w:tcW w:w="7115" w:type="dxa"/>
            <w:vAlign w:val="center"/>
          </w:tcPr>
          <w:p w14:paraId="4C32E712" w14:textId="77777777" w:rsidR="000C369C" w:rsidRPr="000C369C" w:rsidRDefault="000C369C" w:rsidP="000C369C">
            <w:pPr>
              <w:spacing w:before="60" w:after="60" w:line="240" w:lineRule="auto"/>
              <w:ind w:left="307" w:hanging="307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Ocenie podlega, czy na moment zakończenia naboru wniosków o dofinansowanie projektu </w:t>
            </w:r>
          </w:p>
          <w:p w14:paraId="57D788C3" w14:textId="77777777" w:rsidR="000C369C" w:rsidRPr="000C369C" w:rsidRDefault="000C369C" w:rsidP="000C369C">
            <w:pPr>
              <w:numPr>
                <w:ilvl w:val="0"/>
                <w:numId w:val="15"/>
              </w:numPr>
              <w:spacing w:after="0" w:line="240" w:lineRule="auto"/>
              <w:ind w:left="307" w:hanging="307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ogłoszony został przetarg na wyłonienie wykonawcy zadania polegającego na zakupie taboru</w:t>
            </w: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  <w:vertAlign w:val="superscript"/>
              </w:rPr>
              <w:footnoteReference w:id="3"/>
            </w: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.</w:t>
            </w:r>
          </w:p>
          <w:p w14:paraId="02A677E9" w14:textId="77777777" w:rsidR="000C369C" w:rsidRPr="000C369C" w:rsidRDefault="000C369C" w:rsidP="000C369C">
            <w:pPr>
              <w:spacing w:after="0" w:line="240" w:lineRule="auto"/>
              <w:ind w:left="448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52DBAB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50C2078A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C369C" w:rsidRPr="000C369C" w14:paraId="6B80A0FC" w14:textId="77777777" w:rsidTr="00326EDE">
        <w:tc>
          <w:tcPr>
            <w:tcW w:w="14316" w:type="dxa"/>
            <w:gridSpan w:val="4"/>
            <w:shd w:val="clear" w:color="auto" w:fill="8DB3E2"/>
          </w:tcPr>
          <w:p w14:paraId="508DD065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b/>
                <w:sz w:val="18"/>
                <w:szCs w:val="18"/>
              </w:rPr>
              <w:t>B. Kryteria merytoryczne – ogólne</w:t>
            </w:r>
          </w:p>
        </w:tc>
      </w:tr>
      <w:tr w:rsidR="000C369C" w:rsidRPr="000C369C" w14:paraId="49E3B4EB" w14:textId="77777777" w:rsidTr="00326EDE">
        <w:tc>
          <w:tcPr>
            <w:tcW w:w="1242" w:type="dxa"/>
            <w:vAlign w:val="center"/>
          </w:tcPr>
          <w:p w14:paraId="40ACCBC6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B.1</w:t>
            </w:r>
          </w:p>
        </w:tc>
        <w:tc>
          <w:tcPr>
            <w:tcW w:w="2989" w:type="dxa"/>
            <w:vAlign w:val="center"/>
          </w:tcPr>
          <w:p w14:paraId="401237E2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Trwałość operacji</w:t>
            </w:r>
          </w:p>
        </w:tc>
        <w:tc>
          <w:tcPr>
            <w:tcW w:w="7115" w:type="dxa"/>
            <w:vAlign w:val="center"/>
          </w:tcPr>
          <w:p w14:paraId="15F6A17C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Ocenie podlega, czy wnioskodawca gwarantuje trwałość operacji zgodnie z art. 71 rozporządzenia nr 1303/2013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4"/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  <w:p w14:paraId="319DD75B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5B9893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47F90310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36F7577A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50359599" w14:textId="77777777" w:rsidTr="00326EDE">
        <w:tc>
          <w:tcPr>
            <w:tcW w:w="1242" w:type="dxa"/>
            <w:vAlign w:val="center"/>
          </w:tcPr>
          <w:p w14:paraId="3FA06DCB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B.2</w:t>
            </w:r>
          </w:p>
        </w:tc>
        <w:tc>
          <w:tcPr>
            <w:tcW w:w="2989" w:type="dxa"/>
            <w:vAlign w:val="center"/>
          </w:tcPr>
          <w:p w14:paraId="08A0D719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Kwalifikowalność wnioskodawcy/partnerów</w:t>
            </w:r>
          </w:p>
        </w:tc>
        <w:tc>
          <w:tcPr>
            <w:tcW w:w="7115" w:type="dxa"/>
            <w:vAlign w:val="center"/>
          </w:tcPr>
          <w:p w14:paraId="1D687F19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wniosek został złożony przez uprawnionego wnioskodawcę, tj. 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Samorząd Województwa Kujawsko-Pomorskiego.</w:t>
            </w:r>
          </w:p>
          <w:p w14:paraId="4CE0B195" w14:textId="77777777" w:rsidR="000C369C" w:rsidRPr="000C369C" w:rsidRDefault="000C369C" w:rsidP="000C369C">
            <w:pPr>
              <w:spacing w:after="0" w:line="240" w:lineRule="auto"/>
              <w:ind w:left="30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097040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7C244041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15C20B3B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0DB3004B" w14:textId="77777777" w:rsidTr="00326EDE">
        <w:tc>
          <w:tcPr>
            <w:tcW w:w="1242" w:type="dxa"/>
            <w:vAlign w:val="center"/>
          </w:tcPr>
          <w:p w14:paraId="32B8ED25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B.3</w:t>
            </w:r>
          </w:p>
        </w:tc>
        <w:tc>
          <w:tcPr>
            <w:tcW w:w="2989" w:type="dxa"/>
            <w:vAlign w:val="center"/>
          </w:tcPr>
          <w:p w14:paraId="7B6E60C1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Prawidłowość wyboru partnerów uczestniczących/realizujących projekt</w:t>
            </w:r>
          </w:p>
        </w:tc>
        <w:tc>
          <w:tcPr>
            <w:tcW w:w="7115" w:type="dxa"/>
            <w:vAlign w:val="center"/>
          </w:tcPr>
          <w:p w14:paraId="5482D4C8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Ocenie podlega, czy wnioskodawca dokonał wyboru partnera/ów zgodnie z art. 33 ustawy z dnia 11 lipca 2014 r. o zasadach realizacji programów w zakresie polityki spójności finansowanych w perspektywie 2014-2020 (Dz. U. z 2021 r. poz. 1057) w tym m.in. czy wybór partnera został dokonany przed złożeniem wniosku o dofinansowanie projektu.</w:t>
            </w:r>
          </w:p>
          <w:p w14:paraId="3A29E27C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E2831D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3CCE818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Tak/nie/nie dotyczy</w:t>
            </w:r>
          </w:p>
          <w:p w14:paraId="76F0C498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(niespełnienie kryterium oznacza odrzucenie wniosku) </w:t>
            </w:r>
          </w:p>
        </w:tc>
      </w:tr>
      <w:tr w:rsidR="000C369C" w:rsidRPr="000C369C" w14:paraId="71A46637" w14:textId="77777777" w:rsidTr="00326EDE">
        <w:tc>
          <w:tcPr>
            <w:tcW w:w="1242" w:type="dxa"/>
            <w:vAlign w:val="center"/>
          </w:tcPr>
          <w:p w14:paraId="271F0780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B.4</w:t>
            </w:r>
          </w:p>
        </w:tc>
        <w:tc>
          <w:tcPr>
            <w:tcW w:w="2989" w:type="dxa"/>
            <w:vAlign w:val="center"/>
          </w:tcPr>
          <w:p w14:paraId="6C6F9390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Projekt jest zgodny z typami projektów przewidzianymi </w:t>
            </w:r>
          </w:p>
          <w:p w14:paraId="0F7CE1E5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do wsparcia w ramach działania/poddziałania</w:t>
            </w:r>
            <w:r w:rsidRPr="000C369C" w:rsidDel="003B10D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15" w:type="dxa"/>
            <w:vAlign w:val="center"/>
          </w:tcPr>
          <w:p w14:paraId="44F2B4EE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Ocenie podlega, czy projekt polega na zakupie zeroemisyjnego taboru kolejowego służącego przewozom regionalnym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5"/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E13E4C8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3C89B9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497C5978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42813393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49F8DE47" w14:textId="77777777" w:rsidTr="00326ED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47B0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B.5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0095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Prawidłowość określenia wkładu własnego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1F34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</w:pP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 xml:space="preserve">Ocenie podlega, czy wkład własny wnioskodawcy stanowi nie mniej niż 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>5% w wydatkach kwalifikowalnych projektu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vertAlign w:val="superscript"/>
                <w:lang w:val="x-none"/>
              </w:rPr>
              <w:footnoteReference w:id="6"/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 xml:space="preserve">. </w:t>
            </w:r>
          </w:p>
          <w:p w14:paraId="3F8E0E3E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</w:pPr>
          </w:p>
          <w:p w14:paraId="47C54035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</w:pP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>Możliwa poprawa projektu w zakresie spełnienia kryterium.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095E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419D4C5E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  <w:p w14:paraId="4A87774F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0C369C" w:rsidRPr="000C369C" w14:paraId="60BF5A59" w14:textId="77777777" w:rsidTr="00326EDE">
        <w:tc>
          <w:tcPr>
            <w:tcW w:w="1242" w:type="dxa"/>
            <w:vAlign w:val="center"/>
          </w:tcPr>
          <w:p w14:paraId="6B7415B1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B.6</w:t>
            </w:r>
          </w:p>
        </w:tc>
        <w:tc>
          <w:tcPr>
            <w:tcW w:w="2989" w:type="dxa"/>
            <w:vAlign w:val="center"/>
          </w:tcPr>
          <w:p w14:paraId="5F712794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Zgodność z prawem pomocy publicznej</w:t>
            </w:r>
          </w:p>
        </w:tc>
        <w:tc>
          <w:tcPr>
            <w:tcW w:w="7115" w:type="dxa"/>
            <w:vAlign w:val="center"/>
          </w:tcPr>
          <w:p w14:paraId="13083169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Ocena będzie polegać na sprawdzeniu, czy w projekcie występuje pomocą publiczna.</w:t>
            </w:r>
          </w:p>
          <w:p w14:paraId="3C5C380D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 przypadku występowania pomocy publicznej:</w:t>
            </w:r>
          </w:p>
          <w:p w14:paraId="38DF1953" w14:textId="77777777" w:rsidR="000C369C" w:rsidRPr="000C369C" w:rsidRDefault="000C369C" w:rsidP="000C369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166" w:hanging="142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Calibri"/>
                <w:sz w:val="18"/>
                <w:szCs w:val="18"/>
              </w:rPr>
              <w:t xml:space="preserve">pomoc jest udzielana zgodnie z zasadami określonymi w </w:t>
            </w:r>
            <w:r w:rsidRPr="000C369C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Wytycznych Ministra Infrastruktury i Rozwoju z dnia 19 października 2015 r. w zakresie zasad dofinansowania z programów operacyjnych podmiotów realizujących obowiązek świadczenia usług publicznych </w:t>
            </w:r>
            <w:r w:rsidRPr="000C369C">
              <w:rPr>
                <w:rFonts w:ascii="Calibri" w:eastAsia="Calibri" w:hAnsi="Calibri" w:cs="Calibri"/>
                <w:i/>
                <w:sz w:val="18"/>
                <w:szCs w:val="18"/>
              </w:rPr>
              <w:br/>
              <w:t>w transporcie zbiorowym</w:t>
            </w:r>
            <w:r w:rsidRPr="000C369C">
              <w:rPr>
                <w:rFonts w:ascii="Calibri" w:eastAsia="Calibri" w:hAnsi="Calibri" w:cs="Calibri"/>
                <w:sz w:val="18"/>
                <w:szCs w:val="18"/>
              </w:rPr>
              <w:t xml:space="preserve"> (Nr MIR/H/2014-2020/30(1)/10/2014) (wsparcie </w:t>
            </w:r>
            <w:r w:rsidRPr="000C369C">
              <w:rPr>
                <w:rFonts w:ascii="Calibri" w:eastAsia="Calibri" w:hAnsi="Calibri" w:cs="Calibri,Bold"/>
                <w:b/>
                <w:bCs/>
                <w:sz w:val="18"/>
                <w:szCs w:val="18"/>
              </w:rPr>
              <w:t xml:space="preserve">stanowi rekompensatę </w:t>
            </w:r>
            <w:r w:rsidRPr="000C369C">
              <w:rPr>
                <w:rFonts w:ascii="Calibri" w:eastAsia="Calibri" w:hAnsi="Calibri" w:cs="Calibri"/>
                <w:sz w:val="18"/>
                <w:szCs w:val="18"/>
              </w:rPr>
              <w:t>z tytułu realizacji zadań publicznych).</w:t>
            </w:r>
          </w:p>
          <w:p w14:paraId="61DB4D62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 przypadku, gdy pomoc publiczna nie występuje, ocenie podlega, czy wnioskodawca załączył do wniosku o dofinansowanie projektu opis mechanizmu zapewniającego niewystąpienie pomocy publicznej na jego poziomie.</w:t>
            </w:r>
          </w:p>
          <w:p w14:paraId="35348656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127400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</w:pP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lang w:eastAsia="pl-PL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4DF8E6E9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C369C" w:rsidRPr="000C369C" w14:paraId="16BD8B77" w14:textId="77777777" w:rsidTr="00326EDE">
        <w:tc>
          <w:tcPr>
            <w:tcW w:w="1242" w:type="dxa"/>
            <w:vAlign w:val="center"/>
          </w:tcPr>
          <w:p w14:paraId="27FA0324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B.7</w:t>
            </w:r>
          </w:p>
        </w:tc>
        <w:tc>
          <w:tcPr>
            <w:tcW w:w="2989" w:type="dxa"/>
            <w:vAlign w:val="center"/>
          </w:tcPr>
          <w:p w14:paraId="3D574AC1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Zgodność projektu z zasadą zrównoważonego rozwoju i wymaganiami prawa ochrony środowiska</w:t>
            </w:r>
          </w:p>
        </w:tc>
        <w:tc>
          <w:tcPr>
            <w:tcW w:w="7115" w:type="dxa"/>
            <w:vAlign w:val="center"/>
          </w:tcPr>
          <w:p w14:paraId="58DB9D50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 xml:space="preserve">Weryfikowany będzie pozytywny lub neutralny wpływ projektu na zasadę horyzontalną UE dotyczącą zrównoważonego rozwoju (w szczególności minimalizowanie 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negatywnego wpływu  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>działalności człowieka na środowisko, w tym nakierowanych na spełnienie acquis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vertAlign w:val="superscript"/>
                <w:lang w:val="x-none"/>
              </w:rPr>
              <w:footnoteReference w:id="7"/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 xml:space="preserve"> w obszarze środowiska) oraz czy projekt został przygotowany zgodnie z prawem dotyczącym ochrony środowiska, w tym: </w:t>
            </w:r>
          </w:p>
          <w:p w14:paraId="7C2EDFAC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 (</w:t>
            </w:r>
            <w:r w:rsidRPr="000C369C">
              <w:rPr>
                <w:rFonts w:ascii="Calibri" w:eastAsia="Calibri" w:hAnsi="Calibri" w:cs="Calibri"/>
                <w:sz w:val="18"/>
                <w:szCs w:val="18"/>
              </w:rPr>
              <w:t>Dz. U. z 2021 r. poz. 2389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), </w:t>
            </w:r>
          </w:p>
          <w:p w14:paraId="2D47D2FB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ustawą z dnia 27 kwietnia 2001 r. Prawo ochrony środowiska (Dz. U. z 2021 r. poz. 802 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 xml:space="preserve">z późn. zm.), </w:t>
            </w:r>
          </w:p>
          <w:p w14:paraId="3775A6A6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ustawą z dnia 16 kwietnia 2004 r. o ochronie przyrody (Dz. U. z 2021 r. poz. 1098), </w:t>
            </w:r>
          </w:p>
          <w:p w14:paraId="37870260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ustawą z dnia 20 lipca 2017 r. Prawo wodne (</w:t>
            </w:r>
            <w:r w:rsidRPr="000C369C">
              <w:rPr>
                <w:rFonts w:ascii="Calibri" w:eastAsia="Calibri" w:hAnsi="Calibri" w:cs="Calibri"/>
                <w:sz w:val="18"/>
                <w:szCs w:val="18"/>
                <w:lang w:val="x-none"/>
              </w:rPr>
              <w:t>Dz. U. z 20</w:t>
            </w:r>
            <w:r w:rsidRPr="000C369C">
              <w:rPr>
                <w:rFonts w:ascii="Calibri" w:eastAsia="Calibri" w:hAnsi="Calibri" w:cs="Calibri"/>
                <w:sz w:val="18"/>
                <w:szCs w:val="18"/>
              </w:rPr>
              <w:t>21</w:t>
            </w:r>
            <w:r w:rsidRPr="000C369C">
              <w:rPr>
                <w:rFonts w:ascii="Calibri" w:eastAsia="Calibri" w:hAnsi="Calibri" w:cs="Calibri"/>
                <w:sz w:val="18"/>
                <w:szCs w:val="18"/>
                <w:lang w:val="x-none"/>
              </w:rPr>
              <w:t xml:space="preserve"> r. poz. </w:t>
            </w:r>
            <w:r w:rsidRPr="000C369C">
              <w:rPr>
                <w:rFonts w:ascii="Calibri" w:eastAsia="Calibri" w:hAnsi="Calibri" w:cs="Calibri"/>
                <w:sz w:val="18"/>
                <w:szCs w:val="18"/>
              </w:rPr>
              <w:t>624 z późn. zm.</w:t>
            </w:r>
            <w:r w:rsidRPr="000C36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).</w:t>
            </w:r>
          </w:p>
          <w:p w14:paraId="5172EF12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14A6958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0C369C">
              <w:rPr>
                <w:rFonts w:ascii="Calibri" w:eastAsia="Calibri" w:hAnsi="Calibri" w:cs="Calibri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EB82CB5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Tak/nie/nie dotyczy </w:t>
            </w:r>
          </w:p>
          <w:p w14:paraId="5A98107E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01A8CD65" w14:textId="77777777" w:rsidTr="00326EDE">
        <w:trPr>
          <w:trHeight w:val="567"/>
        </w:trPr>
        <w:tc>
          <w:tcPr>
            <w:tcW w:w="1242" w:type="dxa"/>
            <w:vAlign w:val="center"/>
          </w:tcPr>
          <w:p w14:paraId="009C17F8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B.8</w:t>
            </w:r>
          </w:p>
        </w:tc>
        <w:tc>
          <w:tcPr>
            <w:tcW w:w="2989" w:type="dxa"/>
            <w:vAlign w:val="center"/>
          </w:tcPr>
          <w:p w14:paraId="7F50405C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Cele projektu wspierają realizację celów określonych w działaniu </w:t>
            </w:r>
          </w:p>
        </w:tc>
        <w:tc>
          <w:tcPr>
            <w:tcW w:w="7115" w:type="dxa"/>
            <w:vAlign w:val="center"/>
          </w:tcPr>
          <w:p w14:paraId="44C1FD43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cel projektu umożliwi zrealizowanie celu działania, tj. zwiększoną dostępność kolejową regionu. W tym kontekście należy zbadać czy zaplanowane zadania służą realizacji celów projektu i w konsekwencji prowadzą do osiągnięcia celów działania. </w:t>
            </w:r>
          </w:p>
          <w:p w14:paraId="611DD1AC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01A79F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6A886D6E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0EDAF9AB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6FB4DF97" w14:textId="77777777" w:rsidTr="00326EDE">
        <w:trPr>
          <w:trHeight w:val="416"/>
        </w:trPr>
        <w:tc>
          <w:tcPr>
            <w:tcW w:w="1242" w:type="dxa"/>
            <w:vAlign w:val="center"/>
          </w:tcPr>
          <w:p w14:paraId="43DC5EFA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B.9</w:t>
            </w:r>
          </w:p>
        </w:tc>
        <w:tc>
          <w:tcPr>
            <w:tcW w:w="2989" w:type="dxa"/>
            <w:vAlign w:val="center"/>
          </w:tcPr>
          <w:p w14:paraId="78347B01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Wskaźniki realizacji celów projektu</w:t>
            </w:r>
          </w:p>
        </w:tc>
        <w:tc>
          <w:tcPr>
            <w:tcW w:w="7115" w:type="dxa"/>
            <w:vAlign w:val="center"/>
          </w:tcPr>
          <w:p w14:paraId="105FC708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Ocenie podlega, czy:</w:t>
            </w:r>
          </w:p>
          <w:p w14:paraId="45634683" w14:textId="77777777" w:rsidR="000C369C" w:rsidRPr="000C369C" w:rsidRDefault="000C369C" w:rsidP="000C369C">
            <w:pPr>
              <w:numPr>
                <w:ilvl w:val="0"/>
                <w:numId w:val="6"/>
              </w:numPr>
              <w:spacing w:after="0" w:line="240" w:lineRule="auto"/>
              <w:ind w:left="307" w:hanging="30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wskaźniki realizacji celów projektu (produktu, rezultatu) zostały wyrażone liczbowo oraz podano czas ich osiągnięcia,</w:t>
            </w:r>
          </w:p>
          <w:p w14:paraId="0C94E9CF" w14:textId="77777777" w:rsidR="000C369C" w:rsidRPr="000C369C" w:rsidRDefault="000C369C" w:rsidP="000C369C">
            <w:pPr>
              <w:numPr>
                <w:ilvl w:val="0"/>
                <w:numId w:val="6"/>
              </w:numPr>
              <w:spacing w:after="0" w:line="240" w:lineRule="auto"/>
              <w:ind w:left="307" w:hanging="30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wskaźniki zostały właściwie oszacowane w odniesieniu do zakresu projektu,</w:t>
            </w:r>
          </w:p>
          <w:p w14:paraId="47DA51FC" w14:textId="77777777" w:rsidR="000C369C" w:rsidRPr="000C369C" w:rsidRDefault="000C369C" w:rsidP="000C369C">
            <w:pPr>
              <w:numPr>
                <w:ilvl w:val="0"/>
                <w:numId w:val="6"/>
              </w:numPr>
              <w:spacing w:after="0" w:line="240" w:lineRule="auto"/>
              <w:ind w:left="307" w:hanging="30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wybrano wszystkie wskaźniki związane z realizacją projektu.</w:t>
            </w:r>
          </w:p>
          <w:p w14:paraId="1D881BB2" w14:textId="77777777" w:rsidR="000C369C" w:rsidRPr="000C369C" w:rsidRDefault="000C369C" w:rsidP="000C369C">
            <w:pPr>
              <w:spacing w:after="0" w:line="240" w:lineRule="auto"/>
              <w:ind w:left="30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9B4BC4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</w:rPr>
            </w:pPr>
            <w:r w:rsidRPr="000C369C">
              <w:rPr>
                <w:rFonts w:ascii="Calibri" w:eastAsia="Calibri" w:hAnsi="Calibri" w:cs="Times New Roman"/>
                <w:sz w:val="18"/>
              </w:rPr>
              <w:t>Lista wskaźników obowiązujących w konkursie stanowi załącznik do Kryteriów wyboru projektów.</w:t>
            </w:r>
          </w:p>
          <w:p w14:paraId="25B65859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</w:rPr>
            </w:pPr>
          </w:p>
          <w:p w14:paraId="5F68265F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3994F4C3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  <w:p w14:paraId="227EA60C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7DE9A7A8" w14:textId="77777777" w:rsidTr="00326EDE">
        <w:trPr>
          <w:trHeight w:val="699"/>
        </w:trPr>
        <w:tc>
          <w:tcPr>
            <w:tcW w:w="1242" w:type="dxa"/>
            <w:vAlign w:val="center"/>
          </w:tcPr>
          <w:p w14:paraId="08F29DC4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B.10</w:t>
            </w:r>
          </w:p>
        </w:tc>
        <w:tc>
          <w:tcPr>
            <w:tcW w:w="2989" w:type="dxa"/>
            <w:vAlign w:val="center"/>
          </w:tcPr>
          <w:p w14:paraId="5E9B300F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115" w:type="dxa"/>
            <w:vAlign w:val="center"/>
          </w:tcPr>
          <w:p w14:paraId="028F90B6" w14:textId="77777777" w:rsidR="000C369C" w:rsidRPr="000C369C" w:rsidRDefault="000C369C" w:rsidP="000C369C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Ocenie podlega, czy:</w:t>
            </w:r>
          </w:p>
          <w:p w14:paraId="58AF40C0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653ED27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wnioskodawca gwarantuje techniczną wykonalność projektu,</w:t>
            </w:r>
          </w:p>
          <w:p w14:paraId="6CBDD51F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zakres rzeczowy projektu jest technologicznie wykonalny,</w:t>
            </w:r>
          </w:p>
          <w:p w14:paraId="49A5EBF0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wnioskodawca posiada potencjał do prawidłowej obsługi projektu.</w:t>
            </w:r>
          </w:p>
          <w:p w14:paraId="7D5942C1" w14:textId="77777777" w:rsidR="000C369C" w:rsidRPr="000C369C" w:rsidRDefault="000C369C" w:rsidP="000C369C">
            <w:pPr>
              <w:spacing w:after="0" w:line="240" w:lineRule="auto"/>
              <w:ind w:left="30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62EDE2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424CD609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18BBF66E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56E5B466" w14:textId="77777777" w:rsidTr="00326EDE">
        <w:trPr>
          <w:trHeight w:val="70"/>
        </w:trPr>
        <w:tc>
          <w:tcPr>
            <w:tcW w:w="1242" w:type="dxa"/>
            <w:vAlign w:val="center"/>
          </w:tcPr>
          <w:p w14:paraId="07D1E619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B.11</w:t>
            </w:r>
          </w:p>
        </w:tc>
        <w:tc>
          <w:tcPr>
            <w:tcW w:w="2989" w:type="dxa"/>
            <w:vAlign w:val="center"/>
          </w:tcPr>
          <w:p w14:paraId="1A750F8C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Kwalifikowalność wydatków</w:t>
            </w:r>
          </w:p>
        </w:tc>
        <w:tc>
          <w:tcPr>
            <w:tcW w:w="7115" w:type="dxa"/>
            <w:vAlign w:val="center"/>
          </w:tcPr>
          <w:p w14:paraId="17E225C2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wydatki wskazane w projekcie spełniają warunki kwalifikowalności, 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tj.:</w:t>
            </w:r>
          </w:p>
          <w:p w14:paraId="59CF4A48" w14:textId="77777777" w:rsidR="000C369C" w:rsidRPr="000C369C" w:rsidRDefault="000C369C" w:rsidP="000C369C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zostały/ną poniesione w okresie kwalifikowalności wydatków określonym w Regulaminie konkursu obowiązującym dla danego naboru. Przy czym okres kwalifikowalności powinien mieścić się w ramach czasowych określonych w wytycznych ministra właściwego ds. rozwoju regionalnego w zakresie kwalifikowalności wydatków w ramach Europejskiego Funduszu Rozwoju Regionalnego, Europejskiego Funduszu Społecznego oraz Funduszu Spójności na lata 2014-2020,</w:t>
            </w:r>
          </w:p>
          <w:p w14:paraId="00619EF3" w14:textId="24002706" w:rsidR="000C369C" w:rsidRPr="000C369C" w:rsidRDefault="000C369C" w:rsidP="000C369C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są zgodne z zasadami określonymi w ww. wytycznych w zakresie kwalifikowalności wydatków oraz zapisami dotyczącymi kwalifikowalności wydatków określonymi w Regulaminie konkursu,</w:t>
            </w:r>
          </w:p>
          <w:p w14:paraId="3C1B8E3E" w14:textId="77777777" w:rsidR="000C369C" w:rsidRPr="000C369C" w:rsidRDefault="000C369C" w:rsidP="000C369C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zostały uwzględnione w budżecie projektu, </w:t>
            </w:r>
          </w:p>
          <w:p w14:paraId="082CC2AF" w14:textId="34E5D06C" w:rsidR="000C369C" w:rsidRPr="000C369C" w:rsidRDefault="000C369C" w:rsidP="000C369C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są niezbędne do realizacji celów projektu i zostaną poniesione w związku z realizacją projektu,</w:t>
            </w:r>
          </w:p>
          <w:p w14:paraId="3835737D" w14:textId="77777777" w:rsidR="000C369C" w:rsidRPr="000C369C" w:rsidRDefault="000C369C" w:rsidP="000C369C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zostaną dokonane w sposób racjonalny i efektywny z zachowaniem zasad uzyskiwania najlepszych efektów z danych nakładów.</w:t>
            </w:r>
          </w:p>
          <w:p w14:paraId="759C59EC" w14:textId="77777777" w:rsidR="000C369C" w:rsidRPr="000C369C" w:rsidRDefault="000C369C" w:rsidP="000C369C">
            <w:pPr>
              <w:spacing w:after="0" w:line="240" w:lineRule="auto"/>
              <w:ind w:left="30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32B8EF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6ED6896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Tak/nie </w:t>
            </w:r>
          </w:p>
          <w:p w14:paraId="6CD2326F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35454E58" w14:textId="77777777" w:rsidTr="00326EDE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926F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B.12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7CF3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Zgodność z zasadą równości mężczyzn i kobiet oraz niedyskryminacji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3AD6" w14:textId="77777777" w:rsidR="000C369C" w:rsidRPr="000C369C" w:rsidRDefault="000C369C" w:rsidP="000C369C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Ocenie podlega zgodność projektu z politykami horyzontalnymi UE, w tym z:</w:t>
            </w:r>
          </w:p>
          <w:p w14:paraId="3098054D" w14:textId="77777777" w:rsidR="000C369C" w:rsidRPr="000C369C" w:rsidRDefault="000C369C" w:rsidP="000C369C">
            <w:pPr>
              <w:numPr>
                <w:ilvl w:val="0"/>
                <w:numId w:val="7"/>
              </w:numPr>
              <w:spacing w:after="0" w:line="240" w:lineRule="auto"/>
              <w:ind w:left="312" w:hanging="28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Zasadą równości szans kobiet i mężczyzn.</w:t>
            </w:r>
          </w:p>
          <w:p w14:paraId="5310217B" w14:textId="77777777" w:rsidR="000C369C" w:rsidRPr="000C369C" w:rsidRDefault="000C369C" w:rsidP="000C369C">
            <w:pPr>
              <w:numPr>
                <w:ilvl w:val="0"/>
                <w:numId w:val="7"/>
              </w:numPr>
              <w:spacing w:after="60" w:line="240" w:lineRule="auto"/>
              <w:ind w:left="312" w:hanging="28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Zasadą równości szans i niedyskryminacji, w tym dostępności dla osób z niepełnosprawnościami</w:t>
            </w:r>
            <w:r w:rsidRPr="000C369C">
              <w:rPr>
                <w:rFonts w:ascii="Calibri" w:eastAsia="Calibri" w:hAnsi="Calibri" w:cs="Times New Roman"/>
                <w:vertAlign w:val="superscript"/>
              </w:rPr>
              <w:footnoteReference w:id="8"/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 poprzez weryfikację czy wszystkie nowe produkty projektów (zasoby cyfrowe, środki transportu i infrastruktura) finansowane ze środków polityki spójności będą zgodne z koncepcją uniwersalnego projektowania, co oznacza co najmniej zastosowanie standardów dostępności dla polityki spójności na lata 2014-2020.</w:t>
            </w:r>
          </w:p>
          <w:p w14:paraId="2CE1429A" w14:textId="77777777" w:rsidR="000C369C" w:rsidRPr="000C369C" w:rsidRDefault="000C369C" w:rsidP="000C369C">
            <w:pPr>
              <w:spacing w:after="60" w:line="240" w:lineRule="auto"/>
              <w:ind w:left="28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 przypadku obiektów i zasobów modernizowanych</w:t>
            </w:r>
            <w:r w:rsidRPr="000C369C">
              <w:rPr>
                <w:rFonts w:ascii="Calibri" w:eastAsia="Calibri" w:hAnsi="Calibri" w:cs="Times New Roman"/>
                <w:vertAlign w:val="superscript"/>
              </w:rPr>
              <w:footnoteReference w:id="9"/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 (przebudowa</w:t>
            </w:r>
            <w:r w:rsidRPr="000C369C">
              <w:rPr>
                <w:rFonts w:ascii="Calibri" w:eastAsia="Calibri" w:hAnsi="Calibri" w:cs="Times New Roman"/>
                <w:vertAlign w:val="superscript"/>
              </w:rPr>
              <w:footnoteReference w:id="10"/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, rozbudowa</w:t>
            </w:r>
            <w:r w:rsidRPr="000C369C">
              <w:rPr>
                <w:rFonts w:ascii="Calibri" w:eastAsia="Calibri" w:hAnsi="Calibri" w:cs="Times New Roman"/>
                <w:vertAlign w:val="superscript"/>
              </w:rPr>
              <w:footnoteReference w:id="11"/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58C4DC65" w14:textId="77777777" w:rsidR="000C369C" w:rsidRPr="000C369C" w:rsidRDefault="000C369C" w:rsidP="000C369C">
            <w:pPr>
              <w:spacing w:after="60" w:line="240" w:lineRule="auto"/>
              <w:ind w:left="28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 przypadku projektów nieobjętych zakresem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1347EF5A" w14:textId="77777777" w:rsidR="000C369C" w:rsidRPr="000C369C" w:rsidRDefault="000C369C" w:rsidP="000C369C">
            <w:pPr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Każda z powyższych zasad podlega oddzielnej ocenie. W przypadku </w:t>
            </w:r>
            <w:r w:rsidRPr="000C369C">
              <w:rPr>
                <w:rFonts w:ascii="Calibri" w:eastAsia="Calibri" w:hAnsi="Calibri" w:cs="Times New Roman"/>
                <w:bCs/>
                <w:sz w:val="18"/>
                <w:szCs w:val="18"/>
              </w:rPr>
              <w:t>zasady równości szans kobiet i mężczyzn,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stanie zrealizować jakichkolwiek działań w zakresie spełnienia ww. zasady, a uzasadnienie to zostanie uznane przez instytucję oceniającą projekt za trafne i poprawne.</w:t>
            </w:r>
          </w:p>
          <w:p w14:paraId="49B60F4F" w14:textId="77777777" w:rsidR="000C369C" w:rsidRPr="000C369C" w:rsidRDefault="000C369C" w:rsidP="000C369C">
            <w:pPr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W przypadku zasady równości szans i niedyskryminacji, w tym dostępności dla osób z niepełnosprawnościami, 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wszystkie produkty projektów są dostępne dla osób z niepełnosprawnościami. </w:t>
            </w:r>
          </w:p>
          <w:p w14:paraId="68762BB4" w14:textId="77777777" w:rsidR="000C369C" w:rsidRPr="000C369C" w:rsidRDefault="000C369C" w:rsidP="000C369C">
            <w:pPr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187788B6" w14:textId="77777777" w:rsidR="000C369C" w:rsidRPr="000C369C" w:rsidRDefault="000C369C" w:rsidP="000C369C">
            <w:pPr>
              <w:spacing w:after="6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Ostateczna decyzja </w:t>
            </w:r>
            <w:r w:rsidRPr="000C369C">
              <w:rPr>
                <w:rFonts w:ascii="Calibri" w:eastAsia="Calibri" w:hAnsi="Calibri" w:cs="Times New Roman"/>
                <w:bCs/>
                <w:sz w:val="18"/>
                <w:szCs w:val="18"/>
              </w:rPr>
              <w:t>o neutralności danego produktu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3CC46C4F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podlegać będzie zgodność z art. 7 rozporządzenia 1303/2013 oraz </w:t>
            </w:r>
            <w:r w:rsidRPr="000C369C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 xml:space="preserve">Wytycznymi </w:t>
            </w:r>
            <w:r w:rsidRPr="000C369C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 w:rsidRPr="000C369C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, w tym z załącznikiem nr 2 do niniejszych </w:t>
            </w:r>
            <w:r w:rsidRPr="000C369C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Wytycznych: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C369C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Standardy dostępności dla polityki spójności 2014-2020.</w:t>
            </w:r>
          </w:p>
          <w:p w14:paraId="567BE365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</w:p>
          <w:p w14:paraId="69CF8B95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B090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Tak/nie</w:t>
            </w:r>
          </w:p>
          <w:p w14:paraId="32C4718F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709397D4" w14:textId="77777777" w:rsidTr="00326EDE">
        <w:trPr>
          <w:trHeight w:val="283"/>
        </w:trPr>
        <w:tc>
          <w:tcPr>
            <w:tcW w:w="1242" w:type="dxa"/>
            <w:vAlign w:val="center"/>
          </w:tcPr>
          <w:p w14:paraId="3EDB662D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B.13</w:t>
            </w:r>
          </w:p>
        </w:tc>
        <w:tc>
          <w:tcPr>
            <w:tcW w:w="2989" w:type="dxa"/>
            <w:vAlign w:val="center"/>
          </w:tcPr>
          <w:p w14:paraId="49A0C21B" w14:textId="042A7A7B" w:rsidR="000C369C" w:rsidRPr="000C369C" w:rsidRDefault="000C369C" w:rsidP="00CD1ED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Wykonalność finansowa 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115" w:type="dxa"/>
            <w:vAlign w:val="center"/>
          </w:tcPr>
          <w:p w14:paraId="374373E2" w14:textId="77777777" w:rsidR="000C369C" w:rsidRPr="000C369C" w:rsidRDefault="000C369C" w:rsidP="000C369C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projekt wykazuje pozytywne efekty ekonomiczne oraz czy analiza finansowa i ekonomiczna przedsięwzięcia została przeprowadzona poprawnie, 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w szczególności czy:</w:t>
            </w:r>
          </w:p>
          <w:p w14:paraId="31C16910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poziom dofinansowania został ustalony poprawnie i z uwzględnieniem przepisów dotyczących pomocy publicznej  i projektów generujących dochód (jeśli dotyczy), </w:t>
            </w:r>
          </w:p>
          <w:p w14:paraId="63E85AFC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wskazano źródła finansowania wkładu własnego oraz wydatków niekwalifikowalnych,</w:t>
            </w:r>
          </w:p>
          <w:p w14:paraId="63F75D05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przyjęte założenia analiz finansowych są spójne i uzasadnione w kontekście specyfiki projektu i sektora,</w:t>
            </w:r>
          </w:p>
          <w:p w14:paraId="23B8831A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 analizie finansowej  nie ma istotnych błędów rachunkowych,</w:t>
            </w:r>
          </w:p>
          <w:p w14:paraId="788A40B4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analiza finansowa i ekonomiczna została przeprowadzona zgodnie z zasadami sporządzania takich analiz,</w:t>
            </w:r>
          </w:p>
          <w:p w14:paraId="6AE1256F" w14:textId="77777777" w:rsidR="000C369C" w:rsidRPr="000C369C" w:rsidRDefault="000C369C" w:rsidP="000C369C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zapewniona została trwałość finansowa projektu.</w:t>
            </w:r>
          </w:p>
          <w:p w14:paraId="5A6610D4" w14:textId="77777777" w:rsidR="000C369C" w:rsidRPr="000C369C" w:rsidRDefault="000C369C" w:rsidP="000C369C">
            <w:pPr>
              <w:spacing w:after="0" w:line="240" w:lineRule="auto"/>
              <w:ind w:left="30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A07873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F3988AD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3D3D37D4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161A5610" w14:textId="77777777" w:rsidTr="00326EDE">
        <w:trPr>
          <w:trHeight w:val="283"/>
        </w:trPr>
        <w:tc>
          <w:tcPr>
            <w:tcW w:w="1242" w:type="dxa"/>
            <w:vAlign w:val="center"/>
          </w:tcPr>
          <w:p w14:paraId="69349BB8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B.14</w:t>
            </w:r>
          </w:p>
        </w:tc>
        <w:tc>
          <w:tcPr>
            <w:tcW w:w="2989" w:type="dxa"/>
            <w:vAlign w:val="center"/>
          </w:tcPr>
          <w:p w14:paraId="2246DDDA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B9BF47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Zgodność dokumentacji projektowej z SZOOP oraz Regulaminem konkursu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7115" w:type="dxa"/>
            <w:vAlign w:val="center"/>
          </w:tcPr>
          <w:p w14:paraId="57EBBA6B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wnioskodawca przygotował wniosek o dofinansowanie projektu zgodnie z SZOOP obowiązującym na dzień przyjęcia kryterium (chyba, że kryteria zawężają postanowienia SZOOP w zakresie danego działania) oraz Regulaminem konkursu, 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 xml:space="preserve">w szczególności zgodnie z Instrukcją wypełniania wniosku o dofinansowanie projektu 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w ramach RPO WK-P na lata 2014-2020. Weryfikacji podlega m.in. maksymalna/minimalna wartość projektu oraz maksymalna/minimalna wartość wydatków kwalifikowanych projektu (jeśli dotyczy), maksymalny % poziom dofinansowania UE oraz minimalny wkład własny beneficjenta jako % wydatków kwalifikowanych (jeśli dotyczy).</w:t>
            </w:r>
          </w:p>
          <w:p w14:paraId="095B7A7C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 </w:t>
            </w:r>
          </w:p>
          <w:p w14:paraId="157691D5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IZ RPO ma możliwość doprecyzowania maksymalnej/minimalnej wartość projektu oraz maksymalnej/ minimalnej wartość wydatków kwalifikowanych projektu (jeśli dotyczy), maksymalnego % poziomu dofinansowania UE oraz minimalnego wkładu własnego beneficjenta jako % wydatków kwalifikowanych (jeśli dotyczy) w Regulaminie konkursu.</w:t>
            </w:r>
          </w:p>
          <w:p w14:paraId="00C5675C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1AD2C5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101498B3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Tak/nie </w:t>
            </w:r>
          </w:p>
          <w:p w14:paraId="0132D4CC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66EE08D9" w14:textId="77777777" w:rsidTr="00326EDE">
        <w:trPr>
          <w:trHeight w:val="1087"/>
        </w:trPr>
        <w:tc>
          <w:tcPr>
            <w:tcW w:w="1242" w:type="dxa"/>
            <w:vAlign w:val="center"/>
          </w:tcPr>
          <w:p w14:paraId="0B646BA3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B.15</w:t>
            </w:r>
          </w:p>
        </w:tc>
        <w:tc>
          <w:tcPr>
            <w:tcW w:w="2989" w:type="dxa"/>
            <w:vAlign w:val="center"/>
          </w:tcPr>
          <w:p w14:paraId="2681FBF2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Zgodność projektu z załącznikiem 5 do SZOOP</w:t>
            </w:r>
          </w:p>
        </w:tc>
        <w:tc>
          <w:tcPr>
            <w:tcW w:w="7115" w:type="dxa"/>
            <w:vAlign w:val="center"/>
          </w:tcPr>
          <w:p w14:paraId="63AB4170" w14:textId="77777777" w:rsidR="000C369C" w:rsidRPr="000C369C" w:rsidRDefault="000C369C" w:rsidP="000C369C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Ocenie podlega, czy na moment ogłoszenia naboru, projekt został zidentyfikowany </w:t>
            </w: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br/>
              <w:t xml:space="preserve">w załączniku 5 do Szczegółowego Opisu Osi Priorytetowych </w:t>
            </w:r>
            <w:r w:rsidRPr="000C369C">
              <w:rPr>
                <w:rFonts w:ascii="Calibri" w:eastAsia="Calibri" w:hAnsi="Calibri" w:cs="Times New Roman"/>
                <w:i/>
                <w:color w:val="000000"/>
                <w:sz w:val="18"/>
                <w:szCs w:val="18"/>
              </w:rPr>
              <w:t xml:space="preserve">Wykaz projektów zidentyfikowanych przez właściwą instytucję w ramach trybu pozakonkursowego wraz </w:t>
            </w:r>
            <w:r w:rsidRPr="000C369C">
              <w:rPr>
                <w:rFonts w:ascii="Calibri" w:eastAsia="Calibri" w:hAnsi="Calibri" w:cs="Times New Roman"/>
                <w:i/>
                <w:color w:val="000000"/>
                <w:sz w:val="18"/>
                <w:szCs w:val="18"/>
              </w:rPr>
              <w:br/>
              <w:t>z informacją o projekcie i podmiocie, który będzie wnioskodawcą</w:t>
            </w: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oraz czy:</w:t>
            </w:r>
          </w:p>
          <w:p w14:paraId="3BFA4D50" w14:textId="77777777" w:rsidR="000C369C" w:rsidRPr="000C369C" w:rsidRDefault="000C369C" w:rsidP="000C369C">
            <w:pPr>
              <w:numPr>
                <w:ilvl w:val="0"/>
                <w:numId w:val="10"/>
              </w:numPr>
              <w:spacing w:before="60"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wniosek został złożony przez uprawnionego wnioskodawcę, wskazanego w załączniku,</w:t>
            </w:r>
          </w:p>
          <w:p w14:paraId="0C74D7EC" w14:textId="77777777" w:rsidR="000C369C" w:rsidRPr="000C369C" w:rsidRDefault="000C369C" w:rsidP="000C369C">
            <w:pPr>
              <w:numPr>
                <w:ilvl w:val="0"/>
                <w:numId w:val="1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wskaźniki realizowane w projekcie są zgodne ze wskaźnikami wynikającymi z załącznika,</w:t>
            </w:r>
          </w:p>
          <w:p w14:paraId="798C34C0" w14:textId="77777777" w:rsidR="000C369C" w:rsidRPr="000C369C" w:rsidRDefault="000C369C" w:rsidP="000C369C">
            <w:pPr>
              <w:numPr>
                <w:ilvl w:val="0"/>
                <w:numId w:val="1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kwota dofinansowania nie przekracza wkładu UE wynikającego z załącznika.</w:t>
            </w:r>
          </w:p>
          <w:p w14:paraId="12D0968D" w14:textId="77777777" w:rsidR="000C369C" w:rsidRPr="000C369C" w:rsidRDefault="000C369C" w:rsidP="000C369C">
            <w:pPr>
              <w:spacing w:after="0" w:line="240" w:lineRule="auto"/>
              <w:ind w:left="307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  <w:p w14:paraId="672C48CE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28F1FFC6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Tak/nie </w:t>
            </w: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C369C" w:rsidRPr="000C369C" w14:paraId="3DBACB21" w14:textId="77777777" w:rsidTr="00326EDE">
        <w:tc>
          <w:tcPr>
            <w:tcW w:w="14316" w:type="dxa"/>
            <w:gridSpan w:val="4"/>
            <w:shd w:val="clear" w:color="auto" w:fill="8DB3E2"/>
          </w:tcPr>
          <w:p w14:paraId="54D65655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  <w:r w:rsidRPr="000C369C">
              <w:rPr>
                <w:rFonts w:ascii="Calibri" w:eastAsia="Calibri" w:hAnsi="Calibri" w:cs="Times New Roman"/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0C369C" w:rsidRPr="000C369C" w14:paraId="6526D126" w14:textId="77777777" w:rsidTr="00326EDE">
        <w:tc>
          <w:tcPr>
            <w:tcW w:w="1242" w:type="dxa"/>
            <w:vAlign w:val="center"/>
          </w:tcPr>
          <w:p w14:paraId="420F7912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C.1.1</w:t>
            </w:r>
          </w:p>
        </w:tc>
        <w:tc>
          <w:tcPr>
            <w:tcW w:w="2989" w:type="dxa"/>
            <w:vAlign w:val="center"/>
          </w:tcPr>
          <w:p w14:paraId="66A47756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0C369C">
              <w:rPr>
                <w:rFonts w:ascii="Calibri" w:eastAsia="Calibri" w:hAnsi="Calibri" w:cs="Calibri"/>
                <w:sz w:val="18"/>
                <w:szCs w:val="18"/>
              </w:rPr>
              <w:t>Zmiany klimatu</w:t>
            </w:r>
          </w:p>
        </w:tc>
        <w:tc>
          <w:tcPr>
            <w:tcW w:w="7115" w:type="dxa"/>
            <w:vAlign w:val="center"/>
          </w:tcPr>
          <w:p w14:paraId="4E83093D" w14:textId="77777777" w:rsidR="000C369C" w:rsidRPr="000C369C" w:rsidRDefault="000C369C" w:rsidP="000C369C">
            <w:pPr>
              <w:spacing w:after="20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Ocenie w ramach kryterium podlegać będzie, czy przyjęte rozwiązania techniczne 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i technologiczne:</w:t>
            </w:r>
          </w:p>
          <w:p w14:paraId="140651B0" w14:textId="77777777" w:rsidR="000C369C" w:rsidRPr="000C369C" w:rsidRDefault="000C369C" w:rsidP="000C369C">
            <w:pPr>
              <w:numPr>
                <w:ilvl w:val="0"/>
                <w:numId w:val="13"/>
              </w:numPr>
              <w:spacing w:after="0" w:line="240" w:lineRule="auto"/>
              <w:ind w:left="307" w:hanging="284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minimalizują wpływ inwestycji na klimat,</w:t>
            </w:r>
          </w:p>
          <w:p w14:paraId="51788F53" w14:textId="77777777" w:rsidR="000C369C" w:rsidRPr="000C369C" w:rsidRDefault="000C369C" w:rsidP="000C369C">
            <w:pPr>
              <w:numPr>
                <w:ilvl w:val="0"/>
                <w:numId w:val="13"/>
              </w:numPr>
              <w:spacing w:after="0" w:line="240" w:lineRule="auto"/>
              <w:ind w:left="307" w:hanging="284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uwzględniają potrzeby zapewnienia odporności na skutki zmiany klimatu (np. ekstremalne temperatury, burze itp.).</w:t>
            </w:r>
          </w:p>
          <w:p w14:paraId="191F3A72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11F257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718AE605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  <w:p w14:paraId="78A735AA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  <w:p w14:paraId="41C2B1AB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0C369C" w:rsidRPr="000C369C" w14:paraId="77BDB091" w14:textId="77777777" w:rsidTr="00326EDE">
        <w:tc>
          <w:tcPr>
            <w:tcW w:w="1242" w:type="dxa"/>
            <w:vAlign w:val="center"/>
          </w:tcPr>
          <w:p w14:paraId="1D328B74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C.1.2</w:t>
            </w:r>
          </w:p>
        </w:tc>
        <w:tc>
          <w:tcPr>
            <w:tcW w:w="2989" w:type="dxa"/>
            <w:vAlign w:val="center"/>
          </w:tcPr>
          <w:p w14:paraId="371CA327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0C369C">
              <w:rPr>
                <w:rFonts w:ascii="Calibri" w:eastAsia="Calibri" w:hAnsi="Calibri" w:cs="Calibri"/>
                <w:sz w:val="18"/>
                <w:szCs w:val="18"/>
              </w:rPr>
              <w:t>Zgodność z TSI (Techniczne Specyfikacje Interoperacyjności)</w:t>
            </w:r>
          </w:p>
        </w:tc>
        <w:tc>
          <w:tcPr>
            <w:tcW w:w="7115" w:type="dxa"/>
            <w:vAlign w:val="center"/>
          </w:tcPr>
          <w:p w14:paraId="60ABE9FB" w14:textId="77777777" w:rsidR="000C369C" w:rsidRPr="000C369C" w:rsidRDefault="000C369C" w:rsidP="000C369C">
            <w:pPr>
              <w:spacing w:after="20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 xml:space="preserve">Projektowane rozwiązania będą realizowane zgodnie z wymaganiami TSI, w tym 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z Rozporządzeniem Komisji (UE) nr 1300/2014 z dnia 18 listopada 2014 r. w sprawie technicznych specyfikacji interoperacyjności odnoszących się do dostępności systemu kolei dla osób niepełnosprawnych i osób o ograniczonej możliwości poruszania się.</w:t>
            </w:r>
          </w:p>
          <w:p w14:paraId="3E3C21B8" w14:textId="77777777" w:rsidR="000C369C" w:rsidRPr="000C369C" w:rsidRDefault="000C369C" w:rsidP="000C369C">
            <w:pPr>
              <w:spacing w:after="20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Techniczne Specyfikacje Interoperacyjności - specyfikacje obejmujące podsystemy lub ich części w celu spełnienia zasadniczych wymagań dotyczących interoperacyjności systemu kolei, ogłaszane przez Komisję Europejską w Dzienniku Urzędowym Unii Europejskiej.</w:t>
            </w:r>
          </w:p>
          <w:p w14:paraId="23E65A06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Kryterium nie dotyczy projektów polegających wyłącznie na przygotowaniu dokumentacji przedprojektowej.</w:t>
            </w:r>
          </w:p>
          <w:p w14:paraId="57186B46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D84720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2A2D89A4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Tak/nie/nie dotyczy</w:t>
            </w:r>
          </w:p>
          <w:p w14:paraId="30062B73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2A14A9F3" w14:textId="77777777" w:rsidTr="00326EDE">
        <w:tc>
          <w:tcPr>
            <w:tcW w:w="1242" w:type="dxa"/>
            <w:vAlign w:val="center"/>
          </w:tcPr>
          <w:p w14:paraId="432BAA0E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C.1.3</w:t>
            </w:r>
          </w:p>
        </w:tc>
        <w:tc>
          <w:tcPr>
            <w:tcW w:w="2989" w:type="dxa"/>
            <w:vAlign w:val="center"/>
          </w:tcPr>
          <w:p w14:paraId="7D27ACD4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Zwiększenie komfortu</w:t>
            </w: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br/>
              <w:t>podróży</w:t>
            </w:r>
          </w:p>
        </w:tc>
        <w:tc>
          <w:tcPr>
            <w:tcW w:w="7115" w:type="dxa"/>
            <w:vAlign w:val="center"/>
          </w:tcPr>
          <w:p w14:paraId="761E47BC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Ocenie w ramach kryterium podlegać  będzie,  czy  kupowany  tabor kolejowy zawiera elementy poprawiające komfort podróży pasażerów takie jak: systemy klimatyzowania przedziałów pasażerskich, ergonomicznie zaprojektowane przestrzenie pasażerskie wyposażone w stojaki rowerowe, rozwiązania zapewniające kompleksową i bezpośrednią informację dla podróżnych.</w:t>
            </w:r>
          </w:p>
          <w:p w14:paraId="02B2E7EB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77D626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245F36FE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  <w:p w14:paraId="73CD67D1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0C369C" w:rsidRPr="000C369C" w14:paraId="7C2DDF54" w14:textId="77777777" w:rsidTr="00326EDE">
        <w:tc>
          <w:tcPr>
            <w:tcW w:w="1242" w:type="dxa"/>
            <w:vAlign w:val="center"/>
          </w:tcPr>
          <w:p w14:paraId="75C88DD7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C.1.4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64A6" w14:textId="77777777" w:rsidR="000C369C" w:rsidRPr="000C369C" w:rsidRDefault="000C369C" w:rsidP="000C3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Efekty jakościowe realizacji projektu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EB60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Ocenie w ramach kryterium będzie poddany wpływ na wzrost znaczenia transportu kolejowego w systemie transportowym województwa kujawsko-pomorskiego.</w:t>
            </w:r>
          </w:p>
          <w:p w14:paraId="0275AF20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CC0BCE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Realizacja projektu przyczyni się do:</w:t>
            </w:r>
          </w:p>
          <w:p w14:paraId="69EDCBFB" w14:textId="77777777" w:rsidR="000C369C" w:rsidRPr="000C369C" w:rsidRDefault="000C369C" w:rsidP="000C369C">
            <w:pPr>
              <w:numPr>
                <w:ilvl w:val="0"/>
                <w:numId w:val="1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wzrostu zdolności przewozowej,</w:t>
            </w:r>
          </w:p>
          <w:p w14:paraId="62B74D8C" w14:textId="77777777" w:rsidR="000C369C" w:rsidRPr="000C369C" w:rsidRDefault="000C369C" w:rsidP="000C369C">
            <w:pPr>
              <w:numPr>
                <w:ilvl w:val="0"/>
                <w:numId w:val="1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skrócenia czasu przejazdu na linii, którą będzie obsługiwał zakupiony tabor,</w:t>
            </w:r>
          </w:p>
          <w:p w14:paraId="2D26ED3F" w14:textId="77777777" w:rsidR="000C369C" w:rsidRPr="000C369C" w:rsidRDefault="000C369C" w:rsidP="000C369C">
            <w:pPr>
              <w:numPr>
                <w:ilvl w:val="0"/>
                <w:numId w:val="1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oszczędności kosztów eksploatacji i utrzymania taboru.</w:t>
            </w:r>
          </w:p>
          <w:p w14:paraId="49684741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825963" w14:textId="77777777" w:rsidR="000C369C" w:rsidRPr="000C369C" w:rsidRDefault="000C369C" w:rsidP="000C369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63ABFD76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  <w:p w14:paraId="5827712E" w14:textId="77777777" w:rsidR="000C369C" w:rsidRPr="000C369C" w:rsidRDefault="000C369C" w:rsidP="000C369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C369C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</w:tbl>
    <w:p w14:paraId="06DD8FC2" w14:textId="77777777" w:rsidR="000C369C" w:rsidRPr="000C369C" w:rsidRDefault="000C369C" w:rsidP="000C369C">
      <w:pPr>
        <w:tabs>
          <w:tab w:val="left" w:pos="11199"/>
        </w:tabs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val="x-none"/>
        </w:rPr>
      </w:pPr>
    </w:p>
    <w:p w14:paraId="7CE0AADD" w14:textId="77777777" w:rsidR="000C369C" w:rsidRPr="000C369C" w:rsidRDefault="000C369C" w:rsidP="000C369C">
      <w:pPr>
        <w:tabs>
          <w:tab w:val="left" w:pos="11199"/>
        </w:tabs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0C369C">
        <w:rPr>
          <w:rFonts w:ascii="Calibri" w:eastAsia="Calibri" w:hAnsi="Calibri" w:cs="Times New Roman"/>
          <w:sz w:val="18"/>
          <w:szCs w:val="18"/>
        </w:rPr>
        <w:t>Przyznanie punktów lub pozytywna ocena kryterium może wymagać deklaracji wnioskodawcy dotyczącej zrealizowania określonych działań na etapie realizacji lub trwałości projektu. Zobowiązanie takie może wynikać z zapisów wniosku o dofinansowanie projektu lub mieć formę oświadczenia. Niewywiązanie się z tych zobowiązań będzie skutkowało zwrotem całości lub części otrzymanego dofinansowania.</w:t>
      </w:r>
    </w:p>
    <w:p w14:paraId="55C95919" w14:textId="77777777" w:rsidR="009A77FA" w:rsidRDefault="008F167E"/>
    <w:sectPr w:rsidR="009A77FA" w:rsidSect="000C36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6BF0D" w14:textId="77777777" w:rsidR="000C369C" w:rsidRDefault="000C369C" w:rsidP="000C369C">
      <w:pPr>
        <w:spacing w:after="0" w:line="240" w:lineRule="auto"/>
      </w:pPr>
      <w:r>
        <w:separator/>
      </w:r>
    </w:p>
  </w:endnote>
  <w:endnote w:type="continuationSeparator" w:id="0">
    <w:p w14:paraId="640AECA3" w14:textId="77777777" w:rsidR="000C369C" w:rsidRDefault="000C369C" w:rsidP="000C3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10B9B" w14:textId="77777777" w:rsidR="000C369C" w:rsidRDefault="000C369C" w:rsidP="000C369C">
      <w:pPr>
        <w:spacing w:after="0" w:line="240" w:lineRule="auto"/>
      </w:pPr>
      <w:r>
        <w:separator/>
      </w:r>
    </w:p>
  </w:footnote>
  <w:footnote w:type="continuationSeparator" w:id="0">
    <w:p w14:paraId="467FC592" w14:textId="77777777" w:rsidR="000C369C" w:rsidRDefault="000C369C" w:rsidP="000C369C">
      <w:pPr>
        <w:spacing w:after="0" w:line="240" w:lineRule="auto"/>
      </w:pPr>
      <w:r>
        <w:continuationSeparator/>
      </w:r>
    </w:p>
  </w:footnote>
  <w:footnote w:id="1">
    <w:p w14:paraId="5207D2A0" w14:textId="77777777" w:rsidR="000C369C" w:rsidRPr="00A73567" w:rsidRDefault="000C369C" w:rsidP="000C369C">
      <w:pPr>
        <w:pStyle w:val="Tekstprzypisudolnego"/>
        <w:rPr>
          <w:sz w:val="16"/>
          <w:szCs w:val="16"/>
        </w:rPr>
      </w:pPr>
      <w:r w:rsidRPr="0015165A">
        <w:rPr>
          <w:rStyle w:val="Odwoanieprzypisudolnego"/>
        </w:rPr>
        <w:footnoteRef/>
      </w:r>
      <w:r w:rsidRPr="0015165A">
        <w:t xml:space="preserve"> </w:t>
      </w:r>
      <w:r w:rsidRPr="00A73567">
        <w:rPr>
          <w:sz w:val="16"/>
          <w:szCs w:val="16"/>
        </w:rPr>
        <w:t>Ilekroć w poniższych kryteriach mowa jest o wnioskodawcy, należy przez to rozumieć zarówno wnioskodawcę oraz partnera, chyba że kryterium stanowi inaczej.</w:t>
      </w:r>
    </w:p>
  </w:footnote>
  <w:footnote w:id="2">
    <w:p w14:paraId="11282529" w14:textId="77777777" w:rsidR="000C369C" w:rsidRDefault="000C369C" w:rsidP="000C369C">
      <w:pPr>
        <w:pStyle w:val="Tekstprzypisudolnego"/>
        <w:jc w:val="both"/>
        <w:rPr>
          <w:sz w:val="16"/>
          <w:szCs w:val="16"/>
        </w:rPr>
      </w:pPr>
      <w:r w:rsidRPr="0015165A">
        <w:rPr>
          <w:rStyle w:val="Odwoanieprzypisudolnego"/>
        </w:rPr>
        <w:footnoteRef/>
      </w:r>
      <w:r w:rsidRPr="00A73567">
        <w:rPr>
          <w:sz w:val="16"/>
          <w:szCs w:val="16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</w:t>
      </w:r>
      <w:r>
        <w:rPr>
          <w:sz w:val="16"/>
          <w:szCs w:val="16"/>
        </w:rPr>
        <w:t xml:space="preserve">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nast.) (dalej: rozporządzenie 1303/2013).</w:t>
      </w:r>
    </w:p>
  </w:footnote>
  <w:footnote w:id="3">
    <w:p w14:paraId="4C2651FD" w14:textId="77777777" w:rsidR="000C369C" w:rsidRPr="00666F98" w:rsidRDefault="000C369C" w:rsidP="000C369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66F98">
        <w:rPr>
          <w:sz w:val="16"/>
          <w:szCs w:val="16"/>
        </w:rPr>
        <w:t>Przetarg powinien być w trakcie realizacji lub być zakończony wynikiem pozytywnym</w:t>
      </w:r>
      <w:r w:rsidRPr="008914F7">
        <w:t>.</w:t>
      </w:r>
    </w:p>
  </w:footnote>
  <w:footnote w:id="4">
    <w:p w14:paraId="7524244F" w14:textId="77777777" w:rsidR="000C369C" w:rsidRPr="00E009DF" w:rsidRDefault="000C369C" w:rsidP="000C369C">
      <w:pPr>
        <w:pStyle w:val="Tekstprzypisudolnego"/>
        <w:rPr>
          <w:sz w:val="16"/>
          <w:szCs w:val="16"/>
        </w:rPr>
      </w:pPr>
      <w:r w:rsidRPr="00D14539">
        <w:rPr>
          <w:rStyle w:val="Odwoanieprzypisudolnego"/>
        </w:rPr>
        <w:footnoteRef/>
      </w:r>
      <w:r w:rsidRPr="00D14539">
        <w:t xml:space="preserve"> </w:t>
      </w:r>
      <w:r w:rsidRPr="00E009DF">
        <w:rPr>
          <w:sz w:val="16"/>
          <w:szCs w:val="16"/>
        </w:rPr>
        <w:t>W przypadku zmiany art. 71 rozporządzenia 1303/2013 jego zaktualizowana wersja będzie obowiązywała od momentu wskazanego w noweli przedmiotowego rozporządzenia.</w:t>
      </w:r>
    </w:p>
  </w:footnote>
  <w:footnote w:id="5">
    <w:p w14:paraId="0691DCE5" w14:textId="77777777" w:rsidR="000C369C" w:rsidRPr="00666F98" w:rsidRDefault="000C369C" w:rsidP="000C369C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66F98">
        <w:rPr>
          <w:sz w:val="16"/>
          <w:szCs w:val="16"/>
        </w:rPr>
        <w:t>Pod pojęciem zeroemisyjnego taboru kolejowego rozumie się tabor</w:t>
      </w:r>
      <w:r>
        <w:rPr>
          <w:sz w:val="16"/>
          <w:szCs w:val="16"/>
        </w:rPr>
        <w:t xml:space="preserve"> zasilany</w:t>
      </w:r>
      <w:r w:rsidRPr="00666F98">
        <w:rPr>
          <w:sz w:val="16"/>
          <w:szCs w:val="16"/>
        </w:rPr>
        <w:t xml:space="preserve"> elektryczn</w:t>
      </w:r>
      <w:r>
        <w:rPr>
          <w:sz w:val="16"/>
          <w:szCs w:val="16"/>
        </w:rPr>
        <w:t xml:space="preserve">ie, </w:t>
      </w:r>
      <w:r w:rsidRPr="00666F98">
        <w:rPr>
          <w:sz w:val="16"/>
          <w:szCs w:val="16"/>
        </w:rPr>
        <w:t>wodor</w:t>
      </w:r>
      <w:r>
        <w:rPr>
          <w:sz w:val="16"/>
          <w:szCs w:val="16"/>
        </w:rPr>
        <w:t>em bądź hybrydowy, tj. wykorzystujący</w:t>
      </w:r>
      <w:r w:rsidRPr="006F130A">
        <w:rPr>
          <w:sz w:val="16"/>
          <w:szCs w:val="16"/>
        </w:rPr>
        <w:t xml:space="preserve"> obok energii elektrycznej inne zeroemisyjne rozwiązania</w:t>
      </w:r>
      <w:r>
        <w:rPr>
          <w:sz w:val="16"/>
          <w:szCs w:val="16"/>
        </w:rPr>
        <w:t xml:space="preserve">. </w:t>
      </w:r>
      <w:r>
        <w:rPr>
          <w:sz w:val="16"/>
          <w:szCs w:val="16"/>
          <w:lang w:val="pl-PL"/>
        </w:rPr>
        <w:t>N</w:t>
      </w:r>
      <w:r>
        <w:rPr>
          <w:sz w:val="16"/>
          <w:szCs w:val="16"/>
        </w:rPr>
        <w:t xml:space="preserve">ie będą wspierane projekty polegające na zakupie taboru zasilanego </w:t>
      </w:r>
      <w:r w:rsidRPr="005A4147">
        <w:rPr>
          <w:sz w:val="16"/>
          <w:szCs w:val="16"/>
        </w:rPr>
        <w:t>CNG, LNG</w:t>
      </w:r>
      <w:r>
        <w:rPr>
          <w:sz w:val="16"/>
          <w:szCs w:val="16"/>
          <w:lang w:val="pl-PL"/>
        </w:rPr>
        <w:t>, dieslem</w:t>
      </w:r>
      <w:r w:rsidRPr="005A4147">
        <w:rPr>
          <w:sz w:val="16"/>
          <w:szCs w:val="16"/>
        </w:rPr>
        <w:t xml:space="preserve"> i inny</w:t>
      </w:r>
      <w:r>
        <w:rPr>
          <w:sz w:val="16"/>
          <w:szCs w:val="16"/>
        </w:rPr>
        <w:t>mi</w:t>
      </w:r>
      <w:r w:rsidRPr="005A4147">
        <w:rPr>
          <w:sz w:val="16"/>
          <w:szCs w:val="16"/>
        </w:rPr>
        <w:t xml:space="preserve"> paliw</w:t>
      </w:r>
      <w:r>
        <w:rPr>
          <w:sz w:val="16"/>
          <w:szCs w:val="16"/>
        </w:rPr>
        <w:t>ami</w:t>
      </w:r>
      <w:r w:rsidRPr="005A4147">
        <w:rPr>
          <w:sz w:val="16"/>
          <w:szCs w:val="16"/>
        </w:rPr>
        <w:t xml:space="preserve"> kopalny</w:t>
      </w:r>
      <w:r>
        <w:rPr>
          <w:sz w:val="16"/>
          <w:szCs w:val="16"/>
        </w:rPr>
        <w:t>mi</w:t>
      </w:r>
      <w:r w:rsidRPr="005A4147">
        <w:rPr>
          <w:sz w:val="16"/>
          <w:szCs w:val="16"/>
        </w:rPr>
        <w:t>.</w:t>
      </w:r>
    </w:p>
  </w:footnote>
  <w:footnote w:id="6">
    <w:p w14:paraId="24D3E9C7" w14:textId="77777777" w:rsidR="000C369C" w:rsidRPr="00666F98" w:rsidRDefault="000C369C" w:rsidP="000C369C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A1ACC">
        <w:rPr>
          <w:sz w:val="16"/>
          <w:szCs w:val="16"/>
          <w:lang w:val="pl-PL"/>
        </w:rPr>
        <w:t>W przypadku dostępności środków budżetu państwa możliwe będzie zastąpienie części wkładu własnego wkładem budżetu państwa maksymalnie do 10% wydatków kwalifikowalnych projektu</w:t>
      </w:r>
      <w:r w:rsidRPr="00953C6B">
        <w:rPr>
          <w:sz w:val="16"/>
          <w:szCs w:val="16"/>
        </w:rPr>
        <w:t>.</w:t>
      </w:r>
    </w:p>
  </w:footnote>
  <w:footnote w:id="7">
    <w:p w14:paraId="70BC2DB0" w14:textId="77777777" w:rsidR="000C369C" w:rsidRDefault="000C369C" w:rsidP="000C36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05CB">
        <w:rPr>
          <w:sz w:val="16"/>
          <w:szCs w:val="16"/>
        </w:rPr>
        <w:t>Dorobek prawny UE</w:t>
      </w:r>
      <w:r>
        <w:rPr>
          <w:sz w:val="16"/>
          <w:szCs w:val="16"/>
        </w:rPr>
        <w:t>.</w:t>
      </w:r>
    </w:p>
  </w:footnote>
  <w:footnote w:id="8">
    <w:p w14:paraId="7E31B431" w14:textId="77777777" w:rsidR="000C369C" w:rsidRDefault="000C369C" w:rsidP="000C369C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Osoby z niepełnosprawnościami w rozumieniu ustawy z dnia 27 sierpnia 1997 r. o rehabilitacji zawodowej i społecznej oraz zatrudnianiu osób niepełnosprawnych (Dz. U. z 2021 r. poz. 573), a także osoby z zaburzeniami psychicznymi, o których mowa w ustawie z dnia 19 sierpnia 1994 r. o ochronie zdrowia psychicznego (Dz. U. z 2020 r. poz. 685).</w:t>
      </w:r>
    </w:p>
  </w:footnote>
  <w:footnote w:id="9">
    <w:p w14:paraId="53DAB45C" w14:textId="77777777" w:rsidR="000C369C" w:rsidRDefault="000C369C" w:rsidP="000C369C">
      <w:pPr>
        <w:pStyle w:val="Tekstprzypisudolnego"/>
        <w:jc w:val="both"/>
        <w:rPr>
          <w:sz w:val="16"/>
          <w:szCs w:val="16"/>
        </w:rPr>
      </w:pPr>
      <w:r w:rsidRPr="00A3229A">
        <w:rPr>
          <w:rStyle w:val="Odwoanieprzypisudolnego"/>
        </w:rPr>
        <w:footnoteRef/>
      </w:r>
      <w:r w:rsidRPr="00A3229A">
        <w:t xml:space="preserve"> </w:t>
      </w:r>
      <w:r>
        <w:rPr>
          <w:sz w:val="16"/>
          <w:szCs w:val="16"/>
        </w:rPr>
        <w:t xml:space="preserve">W przypadku modernizacji dostępność dotyczy co najmniej tych elementów budynku, które były przedmiotem współfinansowania. </w:t>
      </w:r>
    </w:p>
  </w:footnote>
  <w:footnote w:id="10">
    <w:p w14:paraId="0846114E" w14:textId="77777777" w:rsidR="000C369C" w:rsidRDefault="000C369C" w:rsidP="000C369C">
      <w:pPr>
        <w:pStyle w:val="Tekstprzypisudolnego"/>
        <w:jc w:val="both"/>
        <w:rPr>
          <w:sz w:val="16"/>
          <w:szCs w:val="16"/>
        </w:rPr>
      </w:pPr>
      <w:r w:rsidRPr="00A3229A">
        <w:rPr>
          <w:rStyle w:val="Odwoanieprzypisudolnego"/>
        </w:rPr>
        <w:footnoteRef/>
      </w:r>
      <w:r>
        <w:rPr>
          <w:sz w:val="16"/>
          <w:szCs w:val="16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031295B0" w14:textId="77777777" w:rsidR="000C369C" w:rsidRDefault="000C369C" w:rsidP="000C369C">
      <w:pPr>
        <w:pStyle w:val="Tekstprzypisudolnego"/>
        <w:jc w:val="both"/>
        <w:rPr>
          <w:sz w:val="16"/>
          <w:szCs w:val="16"/>
        </w:rPr>
      </w:pPr>
      <w:r w:rsidRPr="00A3229A">
        <w:rPr>
          <w:rStyle w:val="Odwoanieprzypisudolnego"/>
        </w:rPr>
        <w:footnoteRef/>
      </w:r>
      <w:r w:rsidRPr="00A3229A">
        <w:t xml:space="preserve"> </w:t>
      </w:r>
      <w:r>
        <w:rPr>
          <w:sz w:val="16"/>
          <w:szCs w:val="16"/>
        </w:rPr>
        <w:t>Rozbudowa to powiększenie, rozszerzenie budowli, obszaru już zabudowanego, dobudowywanie nowych elementów.</w:t>
      </w:r>
    </w:p>
    <w:p w14:paraId="7B0524D3" w14:textId="77777777" w:rsidR="000C369C" w:rsidRDefault="000C369C" w:rsidP="000C369C">
      <w:pPr>
        <w:pStyle w:val="Tekstprzypisudolnego"/>
      </w:pPr>
    </w:p>
  </w:footnote>
  <w:footnote w:id="12">
    <w:p w14:paraId="0F62B316" w14:textId="77777777" w:rsidR="000C369C" w:rsidRPr="00F22097" w:rsidRDefault="000C369C" w:rsidP="000C369C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22097">
        <w:rPr>
          <w:sz w:val="16"/>
          <w:szCs w:val="16"/>
        </w:rPr>
        <w:t xml:space="preserve">Przez Regulamin konkursu należy rozumieć Zasady składania i wyboru projektów pozakonkursowych w ramach Regionalnego Programu Operacyjnego Województwa Kujawsko-Pomorskiego na lata 2014-2020 </w:t>
      </w:r>
      <w:r>
        <w:rPr>
          <w:sz w:val="16"/>
          <w:szCs w:val="16"/>
        </w:rPr>
        <w:br/>
      </w:r>
      <w:r w:rsidRPr="00F22097">
        <w:rPr>
          <w:sz w:val="16"/>
          <w:szCs w:val="16"/>
        </w:rPr>
        <w:t>w przypadku naboru w trybie pozakonkursowym.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1CCC"/>
    <w:multiLevelType w:val="hybridMultilevel"/>
    <w:tmpl w:val="D85A8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B0C84"/>
    <w:multiLevelType w:val="hybridMultilevel"/>
    <w:tmpl w:val="D9ECE21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93A7B"/>
    <w:multiLevelType w:val="hybridMultilevel"/>
    <w:tmpl w:val="5D40B28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B323B"/>
    <w:multiLevelType w:val="hybridMultilevel"/>
    <w:tmpl w:val="63BA4EF6"/>
    <w:lvl w:ilvl="0" w:tplc="5BC645B0">
      <w:start w:val="1"/>
      <w:numFmt w:val="bullet"/>
      <w:lvlText w:val="-"/>
      <w:lvlJc w:val="left"/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76EE3"/>
    <w:multiLevelType w:val="hybridMultilevel"/>
    <w:tmpl w:val="6A4AF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368B3"/>
    <w:multiLevelType w:val="hybridMultilevel"/>
    <w:tmpl w:val="D2FEE48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3032"/>
    <w:multiLevelType w:val="hybridMultilevel"/>
    <w:tmpl w:val="31EA4EEC"/>
    <w:lvl w:ilvl="0" w:tplc="6FD0F3D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4DC12F2E"/>
    <w:multiLevelType w:val="hybridMultilevel"/>
    <w:tmpl w:val="777654E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67B26"/>
    <w:multiLevelType w:val="hybridMultilevel"/>
    <w:tmpl w:val="82380212"/>
    <w:lvl w:ilvl="0" w:tplc="6A745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57417"/>
    <w:multiLevelType w:val="hybridMultilevel"/>
    <w:tmpl w:val="71DA2FB4"/>
    <w:lvl w:ilvl="0" w:tplc="7E84F598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56F6B"/>
    <w:multiLevelType w:val="hybridMultilevel"/>
    <w:tmpl w:val="79F4209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33941"/>
    <w:multiLevelType w:val="hybridMultilevel"/>
    <w:tmpl w:val="B306705C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F35282"/>
    <w:multiLevelType w:val="hybridMultilevel"/>
    <w:tmpl w:val="78D87ED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6"/>
  </w:num>
  <w:num w:numId="5">
    <w:abstractNumId w:val="13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  <w:num w:numId="13">
    <w:abstractNumId w:val="0"/>
  </w:num>
  <w:num w:numId="14">
    <w:abstractNumId w:val="1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69C"/>
    <w:rsid w:val="000C369C"/>
    <w:rsid w:val="004959E5"/>
    <w:rsid w:val="008F167E"/>
    <w:rsid w:val="00A329A1"/>
    <w:rsid w:val="00CD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E1CF"/>
  <w15:chartTrackingRefBased/>
  <w15:docId w15:val="{D473110D-C770-4311-9A2B-3CA37E8D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0C369C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 w:cs="Times New Roman"/>
      <w:b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C369C"/>
    <w:rPr>
      <w:rFonts w:ascii="Tahoma" w:eastAsia="Times New Roman" w:hAnsi="Tahoma" w:cs="Times New Roman"/>
      <w:b/>
      <w:sz w:val="20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0C369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0C369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0C369C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0C369C"/>
    <w:rPr>
      <w:vertAlign w:val="superscript"/>
    </w:rPr>
  </w:style>
  <w:style w:type="paragraph" w:customStyle="1" w:styleId="Default">
    <w:name w:val="Default"/>
    <w:link w:val="DefaultZnak"/>
    <w:qFormat/>
    <w:rsid w:val="000C36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 BS,Akapit z listą1"/>
    <w:basedOn w:val="Normalny"/>
    <w:link w:val="AkapitzlistZnak"/>
    <w:uiPriority w:val="34"/>
    <w:qFormat/>
    <w:rsid w:val="000C369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0C369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C369C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,Akapit z listą1 Znak"/>
    <w:link w:val="Akapitzlist"/>
    <w:uiPriority w:val="34"/>
    <w:qFormat/>
    <w:locked/>
    <w:rsid w:val="000C369C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DefaultZnak">
    <w:name w:val="Default Znak"/>
    <w:link w:val="Default"/>
    <w:rsid w:val="000C369C"/>
    <w:rPr>
      <w:rFonts w:ascii="Arial" w:eastAsia="Calibri" w:hAnsi="Arial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0C36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369C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369C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69C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6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69C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369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0C36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2513</Words>
  <Characters>15079</Characters>
  <Application>Microsoft Office Word</Application>
  <DocSecurity>0</DocSecurity>
  <Lines>125</Lines>
  <Paragraphs>35</Paragraphs>
  <ScaleCrop>false</ScaleCrop>
  <Company/>
  <LinksUpToDate>false</LinksUpToDate>
  <CharactersWithSpaces>17557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Sienkiewicz</dc:creator>
  <cp:keywords/>
  <dc:description/>
  <cp:lastModifiedBy>Maciej Sienkiewicz</cp:lastModifiedBy>
  <cp:revision>3</cp:revision>
  <dcterms:created xsi:type="dcterms:W3CDTF">2022-02-03T10:42:00Z</dcterms:created>
  <dcterms:modified xsi:type="dcterms:W3CDTF">2022-02-03T11:30:00Z</dcterms:modified>
</cp:coreProperties>
</file>